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2022年全国职业院校技能大赛高职组</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napToGrid w:val="0"/>
        <w:spacing w:line="360" w:lineRule="auto"/>
        <w:jc w:val="center"/>
        <w:rPr>
          <w:rFonts w:eastAsia="黑体"/>
          <w:b/>
          <w:w w:val="80"/>
          <w:sz w:val="44"/>
          <w:szCs w:val="44"/>
        </w:rPr>
      </w:pPr>
      <w:r>
        <w:rPr>
          <w:rFonts w:hint="eastAsia" w:ascii="黑体" w:hAnsi="黑体" w:eastAsia="黑体"/>
          <w:b/>
          <w:sz w:val="44"/>
          <w:szCs w:val="44"/>
        </w:rPr>
        <w:t xml:space="preserve">赛项样卷九 </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2021年12月</w:t>
      </w: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（1）任务书正卷部分共25页，如出现任务书缺页、字迹不清等问题，请及时向裁判示意，进行任务书的更换。</w:t>
      </w:r>
    </w:p>
    <w:p>
      <w:pPr>
        <w:autoSpaceDE w:val="0"/>
        <w:autoSpaceDN w:val="0"/>
        <w:spacing w:line="560" w:lineRule="exact"/>
        <w:ind w:firstLine="560" w:firstLineChars="200"/>
        <w:jc w:val="left"/>
        <w:rPr>
          <w:rFonts w:ascii="仿宋" w:hAnsi="仿宋" w:eastAsia="仿宋"/>
          <w:sz w:val="28"/>
          <w:szCs w:val="28"/>
        </w:rPr>
      </w:pPr>
      <w:r>
        <w:rPr>
          <w:rFonts w:hint="eastAsia" w:ascii="仿宋" w:hAnsi="仿宋" w:eastAsia="仿宋"/>
          <w:sz w:val="28"/>
          <w:szCs w:val="28"/>
        </w:rPr>
        <w:t>（2）竞赛一天完成，职业素养在竞赛全过程考核，全程需完成任务一光伏电站规划设计、任务二光伏电站的搭建、任务三风电场的搭建、任务四风光互补发电系统调度运营管理、任务五能源信息化管理，共计时间8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（4）参赛选手认定竞赛设备的器件有故障可提出更换，器件经现场裁判测定完好属参赛选手误判时，每次扣该参赛队1分。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w:t>
      </w:r>
      <w:bookmarkStart w:id="1" w:name="_GoBack"/>
      <w:bookmarkEnd w:id="1"/>
      <w:r>
        <w:rPr>
          <w:rFonts w:hint="eastAsia" w:ascii="仿宋" w:hAnsi="仿宋" w:eastAsia="仿宋"/>
          <w:sz w:val="28"/>
          <w:szCs w:val="28"/>
        </w:rPr>
        <w:t>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60" w:lineRule="auto"/>
        <w:ind w:firstLine="482" w:firstLineChars="200"/>
        <w:rPr>
          <w:rFonts w:ascii="仿宋" w:hAnsi="仿宋" w:eastAsia="仿宋"/>
          <w:b/>
          <w:bCs/>
          <w:sz w:val="24"/>
          <w:szCs w:val="24"/>
        </w:rPr>
      </w:pPr>
      <w:r>
        <w:rPr>
          <w:rFonts w:hint="eastAsia" w:ascii="仿宋" w:hAnsi="仿宋" w:eastAsia="仿宋"/>
          <w:b/>
          <w:bCs/>
          <w:sz w:val="24"/>
          <w:szCs w:val="24"/>
        </w:rPr>
        <w:t>一、赛项任务书</w:t>
      </w:r>
    </w:p>
    <w:p>
      <w:pPr>
        <w:spacing w:line="360" w:lineRule="auto"/>
        <w:ind w:firstLine="482" w:firstLineChars="200"/>
        <w:rPr>
          <w:rFonts w:ascii="仿宋" w:hAnsi="仿宋" w:eastAsia="仿宋"/>
          <w:b/>
          <w:bCs/>
          <w:sz w:val="24"/>
          <w:szCs w:val="24"/>
        </w:rPr>
      </w:pPr>
      <w:r>
        <w:rPr>
          <w:rFonts w:hint="eastAsia" w:ascii="仿宋" w:hAnsi="仿宋" w:eastAsia="仿宋"/>
          <w:b/>
          <w:bCs/>
          <w:sz w:val="24"/>
          <w:szCs w:val="24"/>
        </w:rPr>
        <w:t>（一）竞赛平台</w:t>
      </w:r>
    </w:p>
    <w:p>
      <w:pPr>
        <w:spacing w:line="360" w:lineRule="auto"/>
        <w:ind w:firstLine="480" w:firstLineChars="200"/>
        <w:rPr>
          <w:rFonts w:ascii="仿宋" w:hAnsi="仿宋" w:eastAsia="仿宋"/>
          <w:sz w:val="24"/>
          <w:szCs w:val="24"/>
        </w:rPr>
      </w:pPr>
      <w:r>
        <w:rPr>
          <w:rFonts w:ascii="仿宋" w:hAnsi="仿宋" w:eastAsia="仿宋"/>
          <w:sz w:val="24"/>
          <w:szCs w:val="24"/>
        </w:rPr>
        <w:t>竞赛平台</w:t>
      </w:r>
      <w:r>
        <w:rPr>
          <w:rFonts w:hint="eastAsia" w:ascii="仿宋" w:hAnsi="仿宋" w:eastAsia="仿宋"/>
          <w:sz w:val="24"/>
          <w:szCs w:val="24"/>
        </w:rPr>
        <w:t>由光伏系统设计软件平台、光伏电站、风电场、能源转换平台和能源信息化管理系统组成</w:t>
      </w:r>
      <w:r>
        <w:rPr>
          <w:rFonts w:ascii="仿宋" w:hAnsi="仿宋" w:eastAsia="仿宋"/>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72" w:firstLineChars="196"/>
        <w:rPr>
          <w:rFonts w:ascii="仿宋" w:hAnsi="仿宋" w:eastAsia="仿宋"/>
          <w:b/>
          <w:sz w:val="24"/>
          <w:szCs w:val="24"/>
        </w:rPr>
      </w:pPr>
      <w:r>
        <w:rPr>
          <w:rFonts w:ascii="仿宋" w:hAnsi="仿宋" w:eastAsia="仿宋"/>
          <w:b/>
          <w:sz w:val="24"/>
          <w:szCs w:val="24"/>
        </w:rPr>
        <w:t>2.2光伏供电系统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center"/>
        <w:rPr>
          <w:rFonts w:ascii="仿宋" w:hAnsi="仿宋" w:eastAsia="仿宋"/>
          <w:sz w:val="24"/>
          <w:szCs w:val="24"/>
        </w:rPr>
      </w:pPr>
    </w:p>
    <w:p>
      <w:pPr>
        <w:spacing w:line="360" w:lineRule="auto"/>
        <w:ind w:firstLine="480" w:firstLineChars="200"/>
        <w:rPr>
          <w:rFonts w:ascii="仿宋" w:hAnsi="仿宋" w:eastAsia="仿宋"/>
          <w:sz w:val="24"/>
          <w:szCs w:val="24"/>
        </w:rPr>
      </w:pPr>
      <w:r>
        <w:rPr>
          <w:rFonts w:hint="eastAsia" w:ascii="仿宋" w:hAnsi="仿宋" w:eastAsia="仿宋"/>
          <w:sz w:val="24"/>
          <w:szCs w:val="24"/>
        </w:rPr>
        <w:t>光伏供电系统的光伏供电控制单元连接线已拆除、PLC</w:t>
      </w: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42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ind w:firstLine="482" w:firstLineChars="200"/>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ind w:firstLine="482" w:firstLineChars="200"/>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676672"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pict>
          <v:shape id="_x0000_i1025" o:spt="75" type="#_x0000_t75" style="height:69pt;width:106.5pt;" filled="f" o:preferrelative="t" stroked="f" coordsize="21600,21600">
            <v:path/>
            <v:fill on="f" focussize="0,0"/>
            <v:stroke on="f" joinstyle="miter"/>
            <v:imagedata r:id="rId11" o:title=""/>
            <o:lock v:ext="edit" aspectratio="f"/>
            <w10:wrap type="none"/>
            <w10:anchorlock/>
          </v:shape>
        </w:pi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(3)U型冷压端子在插入端子排时，U型部分应充分插入，并保证正面朝外，如图5所示。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2">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图6</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3">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Theme="minorEastAsia" w:hAnsiTheme="minorEastAsia" w:cstheme="minorEastAsia"/>
          <w:szCs w:val="21"/>
        </w:rPr>
      </w:pPr>
      <w:r>
        <w:rPr>
          <w:rFonts w:hint="eastAsia" w:asciiTheme="minorEastAsia" w:hAnsiTheme="minorEastAsia" w:eastAsiaTheme="minorEastAsia" w:cstheme="minorEastAsia"/>
          <w:szCs w:val="21"/>
        </w:rPr>
        <w:t>图7</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图8</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RS232接线图</w:t>
      </w:r>
    </w:p>
    <w:p>
      <w:pPr>
        <w:spacing w:line="400" w:lineRule="exact"/>
        <w:ind w:firstLine="480" w:firstLineChars="200"/>
        <w:rPr>
          <w:rFonts w:ascii="仿宋" w:hAnsi="仿宋" w:eastAsia="仿宋"/>
          <w:sz w:val="24"/>
          <w:szCs w:val="24"/>
        </w:rPr>
      </w:pPr>
    </w:p>
    <w:p>
      <w:pPr>
        <w:spacing w:line="400" w:lineRule="exact"/>
        <w:ind w:firstLine="480" w:firstLineChars="200"/>
        <w:rPr>
          <w:rFonts w:ascii="仿宋" w:hAnsi="仿宋" w:eastAsia="仿宋"/>
          <w:sz w:val="24"/>
          <w:szCs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60" w:lineRule="auto"/>
        <w:ind w:firstLine="480" w:firstLineChars="200"/>
        <w:rPr>
          <w:rFonts w:ascii="仿宋" w:hAnsi="仿宋" w:eastAsia="仿宋"/>
          <w:sz w:val="24"/>
        </w:rPr>
      </w:pP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rPr>
        <w:t>二、竞赛任务</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任务一：光伏电站规划设计（10%）</w:t>
      </w:r>
    </w:p>
    <w:p>
      <w:pPr>
        <w:pStyle w:val="12"/>
        <w:spacing w:line="360" w:lineRule="auto"/>
        <w:ind w:left="482" w:firstLine="48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12"/>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5"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12"/>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一、光伏电站规划设计方案（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sz w:val="24"/>
          <w:szCs w:val="24"/>
        </w:rPr>
        <w:t>在电脑中安装有光伏系统设计软件</w:t>
      </w:r>
      <w:r>
        <w:rPr>
          <w:rFonts w:hint="eastAsia" w:ascii="仿宋" w:hAnsi="仿宋" w:eastAsia="仿宋"/>
          <w:color w:val="000000" w:themeColor="text1"/>
          <w:sz w:val="24"/>
          <w:szCs w:val="24"/>
          <w14:textFill>
            <w14:solidFill>
              <w14:schemeClr w14:val="tx1"/>
            </w14:solidFill>
          </w14:textFill>
        </w:rPr>
        <w:t>，设计一种“高压并网系统”，项目名称命名为《高压并网系统》，</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项目地址选择为北京市，客户名称为“客户</w:t>
      </w:r>
      <w:r>
        <w:rPr>
          <w:rFonts w:ascii="仿宋" w:hAnsi="仿宋" w:eastAsia="仿宋"/>
          <w:color w:val="000000" w:themeColor="text1"/>
          <w:sz w:val="24"/>
          <w:szCs w:val="24"/>
          <w14:textFill>
            <w14:solidFill>
              <w14:schemeClr w14:val="tx1"/>
            </w14:solidFill>
          </w14:textFill>
        </w:rPr>
        <w:t>B</w:t>
      </w:r>
      <w:r>
        <w:rPr>
          <w:rFonts w:hint="eastAsia" w:ascii="仿宋" w:hAnsi="仿宋" w:eastAsia="仿宋"/>
          <w:color w:val="000000" w:themeColor="text1"/>
          <w:sz w:val="24"/>
          <w:szCs w:val="24"/>
          <w14:textFill>
            <w14:solidFill>
              <w14:schemeClr w14:val="tx1"/>
            </w14:solidFill>
          </w14:textFill>
        </w:rPr>
        <w:t>”，地址为北京市，设计方公司名称为“技能大赛参赛组”, 设计方公司地址为北京市，设计人员名称为选手所在的工位号，如：01，其余信息默认。</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项目中的气象数据来源采用国际通用卫星数据，气象数据与项目当地地址一致，项目有效占地面积</w:t>
      </w:r>
      <w:r>
        <w:rPr>
          <w:rFonts w:ascii="仿宋" w:hAnsi="仿宋" w:eastAsia="仿宋"/>
          <w:color w:val="000000" w:themeColor="text1"/>
          <w:sz w:val="24"/>
          <w:szCs w:val="24"/>
          <w14:textFill>
            <w14:solidFill>
              <w14:schemeClr w14:val="tx1"/>
            </w14:solidFill>
          </w14:textFill>
        </w:rPr>
        <w:t>4</w:t>
      </w:r>
      <w:r>
        <w:rPr>
          <w:rFonts w:hint="eastAsia" w:ascii="仿宋" w:hAnsi="仿宋" w:eastAsia="仿宋"/>
          <w:color w:val="000000" w:themeColor="text1"/>
          <w:sz w:val="24"/>
          <w:szCs w:val="24"/>
          <w14:textFill>
            <w14:solidFill>
              <w14:schemeClr w14:val="tx1"/>
            </w14:solidFill>
          </w14:textFill>
        </w:rPr>
        <w:t>0000㎡，设计光伏并网系统容量为</w:t>
      </w:r>
      <w:r>
        <w:rPr>
          <w:rFonts w:ascii="仿宋" w:hAnsi="仿宋" w:eastAsia="仿宋"/>
          <w:color w:val="000000" w:themeColor="text1"/>
          <w:sz w:val="24"/>
          <w:szCs w:val="24"/>
          <w14:textFill>
            <w14:solidFill>
              <w14:schemeClr w14:val="tx1"/>
            </w14:solidFill>
          </w14:textFill>
        </w:rPr>
        <w:t>2</w:t>
      </w:r>
      <w:r>
        <w:rPr>
          <w:rFonts w:hint="eastAsia" w:ascii="仿宋" w:hAnsi="仿宋" w:eastAsia="仿宋"/>
          <w:color w:val="000000" w:themeColor="text1"/>
          <w:sz w:val="24"/>
          <w:szCs w:val="24"/>
          <w14:textFill>
            <w14:solidFill>
              <w14:schemeClr w14:val="tx1"/>
            </w14:solidFill>
          </w14:textFill>
        </w:rPr>
        <w:t>MW即</w:t>
      </w:r>
      <w:r>
        <w:rPr>
          <w:rFonts w:ascii="仿宋" w:hAnsi="仿宋" w:eastAsia="仿宋"/>
          <w:color w:val="000000" w:themeColor="text1"/>
          <w:sz w:val="24"/>
          <w:szCs w:val="24"/>
          <w14:textFill>
            <w14:solidFill>
              <w14:schemeClr w14:val="tx1"/>
            </w14:solidFill>
          </w14:textFill>
        </w:rPr>
        <w:t>2</w:t>
      </w:r>
      <w:r>
        <w:rPr>
          <w:rFonts w:hint="eastAsia" w:ascii="仿宋" w:hAnsi="仿宋" w:eastAsia="仿宋"/>
          <w:color w:val="000000" w:themeColor="text1"/>
          <w:sz w:val="24"/>
          <w:szCs w:val="24"/>
          <w14:textFill>
            <w14:solidFill>
              <w14:schemeClr w14:val="tx1"/>
            </w14:solidFill>
          </w14:textFill>
        </w:rPr>
        <w:t>000KW。</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1</w:t>
      </w:r>
      <w:r>
        <w:rPr>
          <w:rFonts w:hint="eastAsia" w:ascii="仿宋" w:hAnsi="仿宋" w:eastAsia="仿宋"/>
          <w:color w:val="000000" w:themeColor="text1"/>
          <w:sz w:val="24"/>
          <w:szCs w:val="24"/>
          <w14:textFill>
            <w14:solidFill>
              <w14:schemeClr w14:val="tx1"/>
            </w14:solidFill>
          </w14:textFill>
        </w:rPr>
        <w:t>）要求完成低压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2</w:t>
      </w:r>
      <w:r>
        <w:rPr>
          <w:rFonts w:hint="eastAsia" w:ascii="仿宋" w:hAnsi="仿宋" w:eastAsia="仿宋"/>
          <w:color w:val="000000" w:themeColor="text1"/>
          <w:sz w:val="24"/>
          <w:szCs w:val="24"/>
          <w14:textFill>
            <w14:solidFill>
              <w14:schemeClr w14:val="tx1"/>
            </w14:solidFill>
          </w14:textFill>
        </w:rPr>
        <w:t>）要求将模拟运行界面截图并保存在桌面“光伏电站规划设计”文件夹，文件名为“模拟运行”。</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）要求系统设计完成后，生成财务分析文件、用户侧并网系统设计方案、可研性报告三部分，保存在桌面文件夹“光伏电站规划设计”文件夹中。</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其中财务分析文件包含</w:t>
      </w:r>
      <w:r>
        <w:rPr>
          <w:rFonts w:ascii="仿宋" w:hAnsi="仿宋" w:eastAsia="仿宋"/>
          <w:color w:val="000000" w:themeColor="text1"/>
          <w:sz w:val="24"/>
          <w:szCs w:val="24"/>
          <w14:textFill>
            <w14:solidFill>
              <w14:schemeClr w14:val="tx1"/>
            </w14:solidFill>
          </w14:textFill>
        </w:rPr>
        <w:t>选用设备</w:t>
      </w:r>
      <w:r>
        <w:rPr>
          <w:rFonts w:hint="eastAsia" w:ascii="仿宋" w:hAnsi="仿宋" w:eastAsia="仿宋"/>
          <w:color w:val="000000" w:themeColor="text1"/>
          <w:sz w:val="24"/>
          <w:szCs w:val="24"/>
          <w14:textFill>
            <w14:solidFill>
              <w14:schemeClr w14:val="tx1"/>
            </w14:solidFill>
          </w14:textFill>
        </w:rPr>
        <w:t>费用、安装费用、</w:t>
      </w:r>
      <w:r>
        <w:rPr>
          <w:rFonts w:ascii="仿宋" w:hAnsi="仿宋" w:eastAsia="仿宋"/>
          <w:color w:val="000000" w:themeColor="text1"/>
          <w:sz w:val="24"/>
          <w:szCs w:val="24"/>
          <w14:textFill>
            <w14:solidFill>
              <w14:schemeClr w14:val="tx1"/>
            </w14:solidFill>
          </w14:textFill>
        </w:rPr>
        <w:t>材料费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人工费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管理费用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技术</w:t>
      </w:r>
      <w:r>
        <w:rPr>
          <w:rFonts w:ascii="仿宋" w:hAnsi="仿宋" w:eastAsia="仿宋"/>
          <w:color w:val="000000" w:themeColor="text1"/>
          <w:sz w:val="24"/>
          <w:szCs w:val="24"/>
          <w14:textFill>
            <w14:solidFill>
              <w14:schemeClr w14:val="tx1"/>
            </w14:solidFill>
          </w14:textFill>
        </w:rPr>
        <w:t>服务费</w:t>
      </w:r>
      <w:r>
        <w:rPr>
          <w:rFonts w:hint="eastAsia" w:ascii="仿宋" w:hAnsi="仿宋" w:eastAsia="仿宋"/>
          <w:color w:val="000000" w:themeColor="text1"/>
          <w:sz w:val="24"/>
          <w:szCs w:val="24"/>
          <w14:textFill>
            <w14:solidFill>
              <w14:schemeClr w14:val="tx1"/>
            </w14:solidFill>
          </w14:textFill>
        </w:rPr>
        <w:t>用等，同时根据贷款、借款</w:t>
      </w:r>
      <w:r>
        <w:rPr>
          <w:rFonts w:ascii="仿宋" w:hAnsi="仿宋" w:eastAsia="仿宋"/>
          <w:color w:val="000000" w:themeColor="text1"/>
          <w:sz w:val="24"/>
          <w:szCs w:val="24"/>
          <w14:textFill>
            <w14:solidFill>
              <w14:schemeClr w14:val="tx1"/>
            </w14:solidFill>
          </w14:textFill>
        </w:rPr>
        <w:t>还本利息、</w:t>
      </w:r>
      <w:r>
        <w:rPr>
          <w:rFonts w:hint="eastAsia" w:ascii="仿宋" w:hAnsi="仿宋" w:eastAsia="仿宋"/>
          <w:color w:val="000000" w:themeColor="text1"/>
          <w:sz w:val="24"/>
          <w:szCs w:val="24"/>
          <w14:textFill>
            <w14:solidFill>
              <w14:schemeClr w14:val="tx1"/>
            </w14:solidFill>
          </w14:textFill>
        </w:rPr>
        <w:t>利润等因素，评估系统</w:t>
      </w:r>
      <w:r>
        <w:rPr>
          <w:rFonts w:ascii="仿宋" w:hAnsi="仿宋" w:eastAsia="仿宋"/>
          <w:color w:val="000000" w:themeColor="text1"/>
          <w:sz w:val="24"/>
          <w:szCs w:val="24"/>
          <w14:textFill>
            <w14:solidFill>
              <w14:schemeClr w14:val="tx1"/>
            </w14:solidFill>
          </w14:textFill>
        </w:rPr>
        <w:t>的</w:t>
      </w:r>
      <w:r>
        <w:rPr>
          <w:rFonts w:hint="eastAsia" w:ascii="仿宋" w:hAnsi="仿宋" w:eastAsia="仿宋"/>
          <w:color w:val="000000" w:themeColor="text1"/>
          <w:sz w:val="24"/>
          <w:szCs w:val="24"/>
          <w14:textFill>
            <w14:solidFill>
              <w14:schemeClr w14:val="tx1"/>
            </w14:solidFill>
          </w14:textFill>
        </w:rPr>
        <w:t>盈利</w:t>
      </w:r>
      <w:r>
        <w:rPr>
          <w:rFonts w:ascii="仿宋" w:hAnsi="仿宋" w:eastAsia="仿宋"/>
          <w:color w:val="000000" w:themeColor="text1"/>
          <w:sz w:val="24"/>
          <w:szCs w:val="24"/>
          <w14:textFill>
            <w14:solidFill>
              <w14:schemeClr w14:val="tx1"/>
            </w14:solidFill>
          </w14:textFill>
        </w:rPr>
        <w:t>能力</w:t>
      </w:r>
      <w:r>
        <w:rPr>
          <w:rFonts w:hint="eastAsia" w:ascii="仿宋" w:hAnsi="仿宋" w:eastAsia="仿宋"/>
          <w:color w:val="000000" w:themeColor="text1"/>
          <w:sz w:val="24"/>
          <w:szCs w:val="24"/>
          <w14:textFill>
            <w14:solidFill>
              <w14:schemeClr w14:val="tx1"/>
            </w14:solidFill>
          </w14:textFill>
        </w:rPr>
        <w:t>，清偿能力和外汇平衡等财务状况，借以判别项目的财务可行性。</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设计方案包含所选</w:t>
      </w:r>
      <w:r>
        <w:rPr>
          <w:rFonts w:ascii="仿宋" w:hAnsi="仿宋" w:eastAsia="仿宋"/>
          <w:color w:val="000000" w:themeColor="text1"/>
          <w:sz w:val="24"/>
          <w:szCs w:val="24"/>
          <w14:textFill>
            <w14:solidFill>
              <w14:schemeClr w14:val="tx1"/>
            </w14:solidFill>
          </w14:textFill>
        </w:rPr>
        <w:t>产品的</w:t>
      </w:r>
      <w:r>
        <w:rPr>
          <w:rFonts w:hint="eastAsia" w:ascii="仿宋" w:hAnsi="仿宋" w:eastAsia="仿宋"/>
          <w:color w:val="000000" w:themeColor="text1"/>
          <w:sz w:val="24"/>
          <w:szCs w:val="24"/>
          <w14:textFill>
            <w14:solidFill>
              <w14:schemeClr w14:val="tx1"/>
            </w14:solidFill>
          </w14:textFill>
        </w:rPr>
        <w:t>详细</w:t>
      </w:r>
      <w:r>
        <w:rPr>
          <w:rFonts w:ascii="仿宋" w:hAnsi="仿宋" w:eastAsia="仿宋"/>
          <w:color w:val="000000" w:themeColor="text1"/>
          <w:sz w:val="24"/>
          <w:szCs w:val="24"/>
          <w14:textFill>
            <w14:solidFill>
              <w14:schemeClr w14:val="tx1"/>
            </w14:solidFill>
          </w14:textFill>
        </w:rPr>
        <w:t>技术参数及相关</w:t>
      </w:r>
      <w:r>
        <w:rPr>
          <w:rFonts w:hint="eastAsia" w:ascii="仿宋" w:hAnsi="仿宋" w:eastAsia="仿宋"/>
          <w:color w:val="000000" w:themeColor="text1"/>
          <w:sz w:val="24"/>
          <w:szCs w:val="24"/>
          <w14:textFill>
            <w14:solidFill>
              <w14:schemeClr w14:val="tx1"/>
            </w14:solidFill>
          </w14:textFill>
        </w:rPr>
        <w:t>产品</w:t>
      </w:r>
      <w:r>
        <w:rPr>
          <w:rFonts w:ascii="仿宋" w:hAnsi="仿宋" w:eastAsia="仿宋"/>
          <w:color w:val="000000" w:themeColor="text1"/>
          <w:sz w:val="24"/>
          <w:szCs w:val="24"/>
          <w14:textFill>
            <w14:solidFill>
              <w14:schemeClr w14:val="tx1"/>
            </w14:solidFill>
          </w14:textFill>
        </w:rPr>
        <w:t>的选型公式</w:t>
      </w:r>
      <w:r>
        <w:rPr>
          <w:rFonts w:hint="eastAsia" w:ascii="仿宋" w:hAnsi="仿宋" w:eastAsia="仿宋"/>
          <w:color w:val="000000" w:themeColor="text1"/>
          <w:sz w:val="24"/>
          <w:szCs w:val="24"/>
          <w14:textFill>
            <w14:solidFill>
              <w14:schemeClr w14:val="tx1"/>
            </w14:solidFill>
          </w14:textFill>
        </w:rPr>
        <w:t>和</w:t>
      </w:r>
      <w:r>
        <w:rPr>
          <w:rFonts w:ascii="仿宋" w:hAnsi="仿宋" w:eastAsia="仿宋"/>
          <w:color w:val="000000" w:themeColor="text1"/>
          <w:sz w:val="24"/>
          <w:szCs w:val="24"/>
          <w14:textFill>
            <w14:solidFill>
              <w14:schemeClr w14:val="tx1"/>
            </w14:solidFill>
          </w14:textFill>
        </w:rPr>
        <w:t>方法</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w:t>
      </w:r>
      <w:r>
        <w:rPr>
          <w:rFonts w:hint="eastAsia" w:ascii="仿宋" w:hAnsi="仿宋" w:eastAsia="仿宋"/>
          <w:color w:val="000000" w:themeColor="text1"/>
          <w:sz w:val="24"/>
          <w:szCs w:val="24"/>
          <w14:textFill>
            <w14:solidFill>
              <w14:schemeClr w14:val="tx1"/>
            </w14:solidFill>
          </w14:textFill>
        </w:rPr>
        <w:t>各月能量</w:t>
      </w:r>
      <w:r>
        <w:rPr>
          <w:rFonts w:ascii="仿宋" w:hAnsi="仿宋" w:eastAsia="仿宋"/>
          <w:color w:val="000000" w:themeColor="text1"/>
          <w:sz w:val="24"/>
          <w:szCs w:val="24"/>
          <w14:textFill>
            <w14:solidFill>
              <w14:schemeClr w14:val="tx1"/>
            </w14:solidFill>
          </w14:textFill>
        </w:rPr>
        <w:t>损耗</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全年各月发电量</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设备及材料清单</w:t>
      </w:r>
      <w:r>
        <w:rPr>
          <w:rFonts w:hint="eastAsia" w:ascii="仿宋" w:hAnsi="仿宋" w:eastAsia="仿宋"/>
          <w:color w:val="000000" w:themeColor="text1"/>
          <w:sz w:val="24"/>
          <w:szCs w:val="24"/>
          <w14:textFill>
            <w14:solidFill>
              <w14:schemeClr w14:val="tx1"/>
            </w14:solidFill>
          </w14:textFill>
        </w:rPr>
        <w:t>、节能</w:t>
      </w:r>
      <w:r>
        <w:rPr>
          <w:rFonts w:ascii="仿宋" w:hAnsi="仿宋" w:eastAsia="仿宋"/>
          <w:color w:val="000000" w:themeColor="text1"/>
          <w:sz w:val="24"/>
          <w:szCs w:val="24"/>
          <w14:textFill>
            <w14:solidFill>
              <w14:schemeClr w14:val="tx1"/>
            </w14:solidFill>
          </w14:textFill>
        </w:rPr>
        <w:t>减排分析等</w:t>
      </w:r>
      <w:r>
        <w:rPr>
          <w:rFonts w:hint="eastAsia" w:ascii="仿宋" w:hAnsi="仿宋" w:eastAsia="仿宋"/>
          <w:color w:val="000000" w:themeColor="text1"/>
          <w:sz w:val="24"/>
          <w:szCs w:val="24"/>
          <w14:textFill>
            <w14:solidFill>
              <w14:schemeClr w14:val="tx1"/>
            </w14:solidFill>
          </w14:textFill>
        </w:rPr>
        <w:t>。</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可研报告是一份结合项目的客观条件和设计公司资源，充分分析该项目的设计方案以及经济效益、环保指标等作出的全面的评价报告。</w:t>
      </w:r>
    </w:p>
    <w:p>
      <w:pPr>
        <w:spacing w:line="300" w:lineRule="auto"/>
        <w:ind w:firstLine="482" w:firstLineChars="200"/>
        <w:rPr>
          <w:rFonts w:ascii="仿宋" w:hAnsi="仿宋" w:eastAsia="仿宋"/>
          <w:b/>
          <w:bCs/>
          <w:sz w:val="24"/>
          <w:szCs w:val="24"/>
        </w:rPr>
      </w:pP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任务二：光伏电站的搭建（</w:t>
      </w:r>
      <w:r>
        <w:rPr>
          <w:rFonts w:ascii="仿宋" w:hAnsi="仿宋" w:eastAsia="仿宋"/>
          <w:b/>
          <w:bCs/>
          <w:sz w:val="24"/>
          <w:szCs w:val="24"/>
        </w:rPr>
        <w:t>2</w:t>
      </w:r>
      <w:r>
        <w:rPr>
          <w:rFonts w:hint="eastAsia" w:ascii="仿宋" w:hAnsi="仿宋" w:eastAsia="仿宋"/>
          <w:b/>
          <w:bCs/>
          <w:sz w:val="24"/>
          <w:szCs w:val="24"/>
        </w:rPr>
        <w:t>5%）</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光伏电站的安装与搭建（9分）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p>
    <w:p>
      <w:pPr>
        <w:spacing w:line="300" w:lineRule="auto"/>
        <w:rPr>
          <w:rFonts w:ascii="仿宋" w:hAnsi="仿宋" w:eastAsia="仿宋"/>
          <w:b/>
          <w:bCs/>
          <w:sz w:val="24"/>
          <w:szCs w:val="24"/>
        </w:rPr>
      </w:pPr>
    </w:p>
    <w:p>
      <w:pPr>
        <w:spacing w:line="400" w:lineRule="exact"/>
        <w:ind w:firstLine="420" w:firstLineChars="200"/>
        <w:jc w:val="center"/>
        <w:rPr>
          <w:rFonts w:ascii="仿宋" w:hAnsi="仿宋" w:eastAsia="仿宋"/>
          <w:sz w:val="24"/>
          <w:szCs w:val="24"/>
        </w:rPr>
      </w:pPr>
      <w:r>
        <w:pict>
          <v:shape id="对象 6" o:spid="_x0000_s1037" o:spt="75" type="#_x0000_t75" style="position:absolute;left:0pt;margin-left:-2.2pt;margin-top:2.8pt;height:213.85pt;width:424.5pt;z-index:251671552;mso-width-relative:page;mso-height-relative:page;" o:ole="t" filled="f" o:preferrelative="t" stroked="f" coordsize="21600,21600">
            <v:path/>
            <v:fill on="f" focussize="0,0"/>
            <v:stroke on="f" joinstyle="miter"/>
            <v:imagedata r:id="rId17" o:title=""/>
            <o:lock v:ext="edit" aspectratio="t"/>
          </v:shape>
          <o:OLEObject Type="Embed" ProgID="Visio.Drawing.11" ShapeID="对象 6" DrawAspect="Content" ObjectID="_1468075725" r:id="rId16">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1用于控制摆杆由西向东运动及西东运动指示灯；继电器KA2用于控制摆杆由东向西运动及东西运动指示灯；继电器KA3用于控制光伏电池组件向东偏转及向东偏转指示灯；继电器KA4用于控制光伏电池组件向南偏转及向南偏转指示灯；继电器KA5用于控制光伏电池组件向西偏转及向西偏转指示灯；继电器KA6用于控制光伏电池组件向北偏转及向北偏转指示灯；继电器KA7用于控制投射灯1和灯1按钮指示灯；继电器KA8用于控制投射灯2和灯2按钮指示灯。继电器KA9用于控制风力电站投入/切出；继电器KA10用于控制光伏电站2投入/切出</w:t>
      </w:r>
      <w:r>
        <w:rPr>
          <w:rFonts w:hint="eastAsia" w:ascii="仿宋" w:hAnsi="??_GB2312" w:eastAsia="仿宋" w:cs="仿宋"/>
          <w:kern w:val="0"/>
          <w:sz w:val="24"/>
          <w:lang w:val="zh-CN"/>
        </w:rPr>
        <w:t>；</w:t>
      </w:r>
      <w:r>
        <w:rPr>
          <w:rFonts w:hint="eastAsia" w:ascii="仿宋" w:hAnsi="仿宋" w:eastAsia="仿宋"/>
          <w:sz w:val="24"/>
          <w:szCs w:val="24"/>
        </w:rPr>
        <w:t>继电器KA11用于控制光伏电站1投入/切出</w:t>
      </w:r>
      <w:r>
        <w:rPr>
          <w:rFonts w:hint="eastAsia" w:ascii="仿宋" w:hAnsi="??_GB2312" w:eastAsia="仿宋" w:cs="仿宋"/>
          <w:kern w:val="0"/>
          <w:sz w:val="24"/>
        </w:rPr>
        <w:t>；</w:t>
      </w:r>
      <w:r>
        <w:rPr>
          <w:rFonts w:hint="eastAsia" w:ascii="仿宋" w:hAnsi="仿宋" w:eastAsia="仿宋"/>
          <w:sz w:val="24"/>
          <w:szCs w:val="24"/>
        </w:rPr>
        <w:t>KA12用于控制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KA13</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rPr>
        <w:t>PLC的布线及接线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根据表1PLC的配置表及表2的线径和颜色要求表，完成PLC的布线与接线。</w:t>
      </w:r>
    </w:p>
    <w:p>
      <w:pPr>
        <w:spacing w:line="360" w:lineRule="auto"/>
        <w:jc w:val="center"/>
        <w:rPr>
          <w:rFonts w:ascii="仿宋" w:hAnsi="仿宋" w:eastAsia="仿宋"/>
          <w:sz w:val="24"/>
          <w:szCs w:val="24"/>
        </w:rPr>
      </w:pPr>
      <w:r>
        <w:rPr>
          <w:rFonts w:hint="eastAsia" w:ascii="仿宋" w:hAnsi="仿宋" w:eastAsia="仿宋"/>
          <w:sz w:val="24"/>
          <w:szCs w:val="24"/>
        </w:rPr>
        <w:t>表1  PLC的输入输出配置表</w:t>
      </w:r>
    </w:p>
    <w:tbl>
      <w:tblPr>
        <w:tblStyle w:val="8"/>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继电器KA1线圈</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jc w:val="center"/>
              <w:rPr>
                <w:rFonts w:ascii="仿宋" w:hAnsi="仿宋" w:eastAsia="仿宋"/>
                <w:szCs w:val="21"/>
              </w:rPr>
            </w:pPr>
            <w:r>
              <w:rPr>
                <w:rFonts w:hint="eastAsia" w:ascii="仿宋" w:hAnsi="仿宋" w:eastAsia="仿宋"/>
                <w:szCs w:val="21"/>
              </w:rPr>
              <w:t>旋转开关自动挡</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继电器KA2线圈</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jc w:val="center"/>
              <w:rPr>
                <w:rFonts w:ascii="仿宋" w:hAnsi="仿宋" w:eastAsia="仿宋"/>
                <w:szCs w:val="21"/>
              </w:rPr>
            </w:pPr>
            <w:r>
              <w:rPr>
                <w:rFonts w:hint="eastAsia" w:ascii="仿宋" w:hAnsi="仿宋" w:eastAsia="仿宋"/>
                <w:szCs w:val="21"/>
              </w:rPr>
              <w:t xml:space="preserve">  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灯1按钮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灯2按钮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szCs w:val="21"/>
              </w:rPr>
            </w:pPr>
            <w:r>
              <w:rPr>
                <w:rFonts w:hint="eastAsia" w:ascii="仿宋" w:hAnsi="仿宋" w:eastAsia="仿宋"/>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szCs w:val="21"/>
              </w:rPr>
            </w:pPr>
            <w:r>
              <w:rPr>
                <w:rFonts w:hint="eastAsia" w:ascii="仿宋" w:hAnsi="仿宋" w:eastAsia="仿宋"/>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szCs w:val="21"/>
              </w:rPr>
            </w:pPr>
            <w:r>
              <w:rPr>
                <w:rFonts w:hint="eastAsia" w:ascii="仿宋" w:hAnsi="仿宋" w:eastAsia="仿宋"/>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szCs w:val="21"/>
              </w:rPr>
            </w:pPr>
            <w:r>
              <w:rPr>
                <w:rFonts w:hint="eastAsia" w:ascii="仿宋" w:hAnsi="仿宋" w:eastAsia="仿宋"/>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jc w:val="center"/>
              <w:rPr>
                <w:rFonts w:ascii="仿宋" w:hAnsi="仿宋" w:eastAsia="仿宋"/>
                <w:szCs w:val="21"/>
              </w:rPr>
            </w:pPr>
            <w:r>
              <w:rPr>
                <w:rFonts w:hint="eastAsia" w:ascii="仿宋" w:hAnsi="仿宋" w:eastAsia="仿宋"/>
                <w:szCs w:val="21"/>
              </w:rPr>
              <w:t>光伏组件向东、向西限位开关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szCs w:val="21"/>
              </w:rPr>
            </w:pPr>
            <w:r>
              <w:rPr>
                <w:rFonts w:hint="eastAsia" w:ascii="仿宋" w:hAnsi="仿宋" w:eastAsia="仿宋"/>
                <w:szCs w:val="21"/>
              </w:rPr>
              <w:t xml:space="preserve"> </w:t>
            </w:r>
            <w:r>
              <w:rPr>
                <w:rFonts w:ascii="仿宋" w:hAnsi="仿宋" w:eastAsia="仿宋"/>
                <w:szCs w:val="21"/>
              </w:rPr>
              <w:t xml:space="preserve"> </w:t>
            </w:r>
            <w:r>
              <w:rPr>
                <w:rFonts w:hint="eastAsia" w:ascii="仿宋" w:hAnsi="仿宋" w:eastAsia="仿宋"/>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ind w:firstLine="210" w:firstLineChars="100"/>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szCs w:val="21"/>
              </w:rPr>
            </w:pPr>
            <w:r>
              <w:rPr>
                <w:rFonts w:hint="eastAsia" w:ascii="仿宋" w:hAnsi="仿宋" w:eastAsia="仿宋"/>
                <w:szCs w:val="21"/>
              </w:rPr>
              <w:t xml:space="preserve"> </w:t>
            </w:r>
            <w:r>
              <w:rPr>
                <w:rFonts w:ascii="仿宋" w:hAnsi="仿宋" w:eastAsia="仿宋"/>
                <w:szCs w:val="21"/>
              </w:rPr>
              <w:t xml:space="preserve"> </w:t>
            </w:r>
            <w:r>
              <w:rPr>
                <w:rFonts w:hint="eastAsia" w:ascii="仿宋" w:hAnsi="仿宋" w:eastAsia="仿宋"/>
                <w:szCs w:val="21"/>
              </w:rPr>
              <w:t>光线传感器向西信号</w:t>
            </w:r>
          </w:p>
        </w:tc>
      </w:tr>
    </w:tbl>
    <w:p>
      <w:pPr>
        <w:spacing w:line="360" w:lineRule="auto"/>
        <w:jc w:val="center"/>
        <w:rPr>
          <w:rFonts w:ascii="黑体" w:eastAsia="黑体"/>
          <w:szCs w:val="21"/>
        </w:rPr>
      </w:pPr>
      <w:r>
        <w:rPr>
          <w:rFonts w:hint="eastAsia" w:ascii="仿宋" w:hAnsi="仿宋" w:eastAsia="仿宋"/>
          <w:sz w:val="24"/>
          <w:szCs w:val="24"/>
        </w:rPr>
        <w:t>表2  PLC接线的线径和颜色要求</w:t>
      </w:r>
    </w:p>
    <w:tbl>
      <w:tblPr>
        <w:tblStyle w:val="8"/>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p>
    <w:p>
      <w:pPr>
        <w:pStyle w:val="13"/>
        <w:numPr>
          <w:ilvl w:val="0"/>
          <w:numId w:val="3"/>
        </w:numPr>
        <w:spacing w:line="360" w:lineRule="auto"/>
        <w:ind w:firstLineChars="0"/>
        <w:rPr>
          <w:rFonts w:ascii="仿宋" w:hAnsi="仿宋" w:eastAsia="仿宋"/>
          <w:sz w:val="24"/>
          <w:szCs w:val="24"/>
        </w:rPr>
      </w:pPr>
      <w:r>
        <w:rPr>
          <w:rFonts w:hint="eastAsia" w:ascii="仿宋" w:hAnsi="仿宋" w:eastAsia="仿宋"/>
          <w:sz w:val="24"/>
          <w:szCs w:val="24"/>
        </w:rPr>
        <w:t>继电器的布线与接线</w:t>
      </w:r>
    </w:p>
    <w:p>
      <w:pPr>
        <w:spacing w:line="360" w:lineRule="auto"/>
        <w:jc w:val="center"/>
        <w:rPr>
          <w:rFonts w:ascii="仿宋" w:hAnsi="仿宋" w:eastAsia="仿宋"/>
          <w:szCs w:val="21"/>
        </w:rPr>
      </w:pPr>
      <w:r>
        <w:rPr>
          <w:rFonts w:hint="eastAsia" w:ascii="宋体" w:hAnsi="??_GB2312" w:cs="宋体"/>
          <w:kern w:val="0"/>
          <w:sz w:val="22"/>
          <w:lang w:val="zh-CN"/>
        </w:rPr>
        <w:object>
          <v:shape id="_x0000_i1026" o:spt="75" type="#_x0000_t75" style="height:108pt;width:438pt;" o:ole="t" filled="f" o:preferrelative="t" stroked="f" coordsize="21600,21600">
            <v:path/>
            <v:fill on="f" focussize="0,0"/>
            <v:stroke on="f" joinstyle="miter"/>
            <v:imagedata r:id="rId19" o:title=""/>
            <o:lock v:ext="edit" aspectratio="t"/>
            <w10:wrap type="none"/>
            <w10:anchorlock/>
          </v:shape>
          <o:OLEObject Type="Embed" ProgID="Visio.Drawing.11" ShapeID="_x0000_i1026" DrawAspect="Content" ObjectID="_1468075726" r:id="rId18">
            <o:LockedField>false</o:LockedField>
          </o:OLEObject>
        </w:object>
      </w:r>
      <w:r>
        <w:rPr>
          <w:rFonts w:hint="eastAsia" w:ascii="仿宋" w:hAnsi="仿宋" w:eastAsia="仿宋"/>
          <w:szCs w:val="21"/>
        </w:rPr>
        <w:t>图11  光伏供电系统继电器控制电路接线图一</w:t>
      </w:r>
    </w:p>
    <w:p>
      <w:pPr>
        <w:spacing w:line="360" w:lineRule="auto"/>
        <w:ind w:firstLine="210" w:firstLineChars="100"/>
        <w:jc w:val="center"/>
        <w:rPr>
          <w:rFonts w:ascii="仿宋" w:hAnsi="仿宋" w:eastAsia="仿宋"/>
          <w:szCs w:val="21"/>
        </w:rPr>
      </w:pPr>
      <w:r>
        <w:object>
          <v:shape id="_x0000_i1027" o:spt="75" type="#_x0000_t75" style="height:145.5pt;width:415.5pt;" o:ole="t" filled="f" o:preferrelative="t" stroked="f" coordsize="21600,21600">
            <v:path/>
            <v:fill on="f" focussize="0,0"/>
            <v:stroke on="f" joinstyle="miter"/>
            <v:imagedata r:id="rId21" o:title=""/>
            <o:lock v:ext="edit" aspectratio="t"/>
            <w10:wrap type="none"/>
            <w10:anchorlock/>
          </v:shape>
          <o:OLEObject Type="Embed" ProgID="Visio.Drawing.15" ShapeID="_x0000_i1027" DrawAspect="Content" ObjectID="_1468075727" r:id="rId20">
            <o:LockedField>false</o:LockedField>
          </o:OLEObject>
        </w:object>
      </w: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二、光伏电站的特性测试（5分）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12"/>
        <w:spacing w:before="78" w:after="78"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12"/>
        <w:spacing w:before="78" w:after="78"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，并保持遮挡1号光伏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12"/>
        <w:spacing w:before="78" w:after="78"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12"/>
        <w:spacing w:before="78" w:after="78"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，并保持遮挡1号光伏电站，但在1号光伏电站电源输出正极线上串联防逆流（防反）二极管，再次检测1号、2号光伏电站的输出特性。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三、光伏电站的编程与调试（9分）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（1）PLC处在手动控制状态时，按下向东按钮，光伏电池组件向东偏转4秒后停止偏转运动。在光伏电池组件向东偏转的过程中，按下停止按钮或急停按钮或接触到东限位位置开关，光伏电池组件停止偏转运动。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（2）PLC处在手动控制状态时，按下向西按钮，光伏电池组件向西偏转4秒后停止偏转运动。在光伏电池组件向西偏转的过程中，按下停止按钮或急停按钮或接触到西限位位置开关，光伏电池组件停止偏转运动。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（3）PLC处在手动控制状态时，按下向北按钮，光伏电池组件向北偏转4秒后停止偏转运动。在光伏电池组件向北偏转的过程中，按下停止按钮或急停按钮或接触到北限位位置开关，光伏电池组件停止偏转运动。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（4）PLC处在手动控制状态时，按下向南按钮，光伏电池组件向南偏转4秒后停止偏转运动。在光伏电池组件向南偏转的过程中，按下停止按钮或急停按钮或到达南限位位置开关，光伏电池组件停止偏转运动。</w:t>
      </w:r>
    </w:p>
    <w:p>
      <w:pPr>
        <w:spacing w:line="298" w:lineRule="auto"/>
        <w:ind w:firstLine="360" w:firstLineChars="150"/>
        <w:rPr>
          <w:rFonts w:ascii="仿宋" w:hAnsi="仿宋" w:eastAsia="仿宋"/>
          <w:sz w:val="24"/>
        </w:rPr>
      </w:pPr>
      <w:r>
        <w:rPr>
          <w:rFonts w:hint="eastAsia" w:ascii="仿宋" w:hAnsi="仿宋" w:eastAsia="仿宋"/>
          <w:sz w:val="24"/>
        </w:rPr>
        <w:t>（5）PLC处在手动控制状态时，按下东西按钮，摆杆由东向西偏转4秒后停止偏转运动。在摆杆由东向西偏转的过程中，按下停止按钮或急停按钮或到达东西限位位置开关，摆杆停止偏转运动。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PLC处在手动控制状态时，按下西东按钮，摆杆由西向东偏转4秒后停止偏转运动。在摆杆由西向东偏转的过程中，按下停止按钮或急停按钮或到达西东限位位置开关，摆杆停止偏转运动。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（7）PLC处在手动控制状态时，按下灯1按钮，灯1按钮指示灯及投射灯1亮4秒。在此过程中按下停止按钮或急停按钮，灯1按钮指示灯及投射灯1熄灭。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（8）PLC处在手动控制状态时，按下灯2按钮，灯2按钮指示灯及投射灯2亮4秒。在此过程中按下停止按钮或急停按钮，灯2按钮指示灯及投射灯2熄灭。</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ind w:firstLine="480" w:firstLineChars="200"/>
        <w:rPr>
          <w:rFonts w:ascii="仿宋" w:hAnsi="仿宋" w:eastAsia="仿宋"/>
          <w:sz w:val="24"/>
        </w:rPr>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试按钮，对应电站投入运行4秒；按下风电场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Pr>
        <w:spacing w:line="300" w:lineRule="auto"/>
        <w:rPr>
          <w:rFonts w:ascii="宋体" w:hAnsi="宋体"/>
          <w:b/>
          <w:bCs/>
          <w:sz w:val="24"/>
        </w:rPr>
      </w:pPr>
    </w:p>
    <w:p>
      <w:pPr>
        <w:spacing w:line="300" w:lineRule="auto"/>
        <w:ind w:firstLine="482" w:firstLineChars="200"/>
        <w:rPr>
          <w:rFonts w:ascii="宋体" w:hAnsi="宋体"/>
          <w:b/>
          <w:bCs/>
          <w:sz w:val="24"/>
        </w:rPr>
      </w:pPr>
      <w:r>
        <w:rPr>
          <w:rFonts w:hint="eastAsia" w:ascii="宋体" w:hAnsi="宋体"/>
          <w:b/>
          <w:bCs/>
          <w:sz w:val="24"/>
        </w:rPr>
        <w:t>任务三:风电场的搭建(18%)</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风电场的安装与搭建（7分）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12"/>
        <w:spacing w:line="300" w:lineRule="auto"/>
        <w:jc w:val="center"/>
        <w:rPr>
          <w:rFonts w:ascii="仿宋" w:hAnsi="仿宋" w:eastAsia="仿宋"/>
          <w:szCs w:val="21"/>
        </w:rPr>
      </w:pPr>
      <w:r>
        <w:object>
          <v:shape id="_x0000_i1028" o:spt="75" type="#_x0000_t75" style="height:199.5pt;width:415.5pt;" o:ole="t" filled="f" o:preferrelative="t" stroked="f" coordsize="21600,21600">
            <v:path/>
            <v:fill on="f" focussize="0,0"/>
            <v:stroke on="f" joinstyle="miter"/>
            <v:imagedata r:id="rId23" o:title=""/>
            <o:lock v:ext="edit" aspectratio="t"/>
            <w10:wrap type="none"/>
            <w10:anchorlock/>
          </v:shape>
          <o:OLEObject Type="Embed" ProgID="Visio.Drawing.11" ShapeID="_x0000_i1028" DrawAspect="Content" ObjectID="_1468075728" r:id="rId22">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（2）PLC的布线及接线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PLC的输入输出配置如表3所示。</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根据表3PLC的配置，完成PLC的布线与接线，接线的线径和颜色要求见表4。</w:t>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rPr>
        <w:t>PLC的输入输出配置表</w:t>
      </w:r>
    </w:p>
    <w:tbl>
      <w:tblPr>
        <w:tblStyle w:val="8"/>
        <w:tblW w:w="9465" w:type="dxa"/>
        <w:tblInd w:w="-1" w:type="dxa"/>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20"/>
        <w:gridCol w:w="1189"/>
        <w:gridCol w:w="2700"/>
        <w:gridCol w:w="720"/>
        <w:gridCol w:w="1222"/>
        <w:gridCol w:w="2914"/>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118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输入输出</w:t>
            </w:r>
          </w:p>
        </w:tc>
        <w:tc>
          <w:tcPr>
            <w:tcW w:w="2700"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配置</w:t>
            </w:r>
          </w:p>
        </w:tc>
        <w:tc>
          <w:tcPr>
            <w:tcW w:w="720"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1222"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输入输出</w:t>
            </w:r>
          </w:p>
        </w:tc>
        <w:tc>
          <w:tcPr>
            <w:tcW w:w="291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tcBorders>
              <w:top w:val="single" w:color="auto" w:sz="6" w:space="0"/>
            </w:tcBorders>
            <w:vAlign w:val="center"/>
          </w:tcPr>
          <w:p>
            <w:pPr>
              <w:jc w:val="center"/>
              <w:rPr>
                <w:rFonts w:ascii="仿宋" w:hAnsi="仿宋" w:eastAsia="仿宋"/>
                <w:sz w:val="24"/>
                <w:szCs w:val="24"/>
              </w:rPr>
            </w:pPr>
            <w:r>
              <w:rPr>
                <w:rFonts w:ascii="仿宋" w:hAnsi="仿宋" w:eastAsia="仿宋"/>
                <w:sz w:val="24"/>
                <w:szCs w:val="24"/>
              </w:rPr>
              <w:t>1</w:t>
            </w:r>
          </w:p>
        </w:tc>
        <w:tc>
          <w:tcPr>
            <w:tcW w:w="1189" w:type="dxa"/>
            <w:tcBorders>
              <w:top w:val="single" w:color="auto" w:sz="6" w:space="0"/>
            </w:tcBorders>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700" w:type="dxa"/>
            <w:tcBorders>
              <w:top w:val="single" w:color="auto" w:sz="6" w:space="0"/>
            </w:tcBorders>
            <w:vAlign w:val="center"/>
          </w:tcPr>
          <w:p>
            <w:pPr>
              <w:widowControl/>
              <w:jc w:val="left"/>
              <w:rPr>
                <w:rFonts w:ascii="仿宋" w:hAnsi="仿宋" w:eastAsia="仿宋" w:cs="宋体"/>
                <w:color w:val="000000"/>
                <w:sz w:val="24"/>
              </w:rPr>
            </w:pPr>
            <w:r>
              <w:rPr>
                <w:rFonts w:hint="eastAsia" w:ascii="仿宋" w:hAnsi="仿宋" w:eastAsia="仿宋"/>
                <w:color w:val="000000"/>
                <w:sz w:val="24"/>
              </w:rPr>
              <w:t>继电器KA15线圈</w:t>
            </w:r>
          </w:p>
        </w:tc>
        <w:tc>
          <w:tcPr>
            <w:tcW w:w="720" w:type="dxa"/>
            <w:tcBorders>
              <w:top w:val="single" w:color="auto" w:sz="6" w:space="0"/>
            </w:tcBorders>
            <w:vAlign w:val="center"/>
          </w:tcPr>
          <w:p>
            <w:pPr>
              <w:jc w:val="center"/>
              <w:rPr>
                <w:rFonts w:ascii="仿宋" w:hAnsi="仿宋" w:eastAsia="仿宋"/>
                <w:sz w:val="24"/>
                <w:szCs w:val="24"/>
              </w:rPr>
            </w:pPr>
            <w:r>
              <w:rPr>
                <w:rFonts w:ascii="仿宋" w:hAnsi="仿宋" w:eastAsia="仿宋"/>
                <w:sz w:val="24"/>
                <w:szCs w:val="24"/>
              </w:rPr>
              <w:t>15</w:t>
            </w:r>
          </w:p>
        </w:tc>
        <w:tc>
          <w:tcPr>
            <w:tcW w:w="1222" w:type="dxa"/>
            <w:tcBorders>
              <w:top w:val="single" w:color="auto" w:sz="6" w:space="0"/>
            </w:tcBorders>
          </w:tcPr>
          <w:p>
            <w:pPr>
              <w:jc w:val="center"/>
              <w:rPr>
                <w:rFonts w:ascii="仿宋" w:hAnsi="仿宋" w:eastAsia="仿宋"/>
                <w:sz w:val="24"/>
                <w:szCs w:val="24"/>
              </w:rPr>
            </w:pPr>
            <w:r>
              <w:rPr>
                <w:rFonts w:ascii="仿宋" w:hAnsi="仿宋" w:eastAsia="仿宋"/>
                <w:sz w:val="24"/>
                <w:szCs w:val="24"/>
              </w:rPr>
              <w:t>I0.0</w:t>
            </w:r>
          </w:p>
        </w:tc>
        <w:tc>
          <w:tcPr>
            <w:tcW w:w="2914" w:type="dxa"/>
            <w:tcBorders>
              <w:top w:val="single" w:color="auto" w:sz="6" w:space="0"/>
            </w:tcBorders>
            <w:vAlign w:val="center"/>
          </w:tcPr>
          <w:p>
            <w:pPr>
              <w:widowControl/>
              <w:jc w:val="left"/>
              <w:rPr>
                <w:rFonts w:ascii="仿宋" w:hAnsi="仿宋" w:eastAsia="仿宋" w:cs="宋体"/>
                <w:color w:val="000000"/>
                <w:sz w:val="24"/>
              </w:rPr>
            </w:pPr>
            <w:r>
              <w:rPr>
                <w:rFonts w:hint="eastAsia" w:ascii="仿宋" w:hAnsi="仿宋" w:eastAsia="仿宋"/>
                <w:color w:val="000000"/>
                <w:sz w:val="24"/>
              </w:rPr>
              <w:t>旋转开关自动挡</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继电器KA16线圈</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222" w:type="dxa"/>
          </w:tcPr>
          <w:p>
            <w:pPr>
              <w:jc w:val="center"/>
              <w:rPr>
                <w:rFonts w:ascii="仿宋" w:hAnsi="仿宋" w:eastAsia="仿宋"/>
                <w:sz w:val="24"/>
                <w:szCs w:val="24"/>
              </w:rPr>
            </w:pPr>
            <w:r>
              <w:rPr>
                <w:rFonts w:ascii="仿宋" w:hAnsi="仿宋" w:eastAsia="仿宋"/>
                <w:sz w:val="24"/>
                <w:szCs w:val="24"/>
              </w:rPr>
              <w:t>I0.1</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启动按钮</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继电器KA17线圈</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222" w:type="dxa"/>
          </w:tcPr>
          <w:p>
            <w:pPr>
              <w:jc w:val="center"/>
              <w:rPr>
                <w:rFonts w:ascii="仿宋" w:hAnsi="仿宋" w:eastAsia="仿宋"/>
                <w:sz w:val="24"/>
                <w:szCs w:val="24"/>
              </w:rPr>
            </w:pPr>
            <w:r>
              <w:rPr>
                <w:rFonts w:ascii="仿宋" w:hAnsi="仿宋" w:eastAsia="仿宋"/>
                <w:sz w:val="24"/>
                <w:szCs w:val="24"/>
              </w:rPr>
              <w:t>I0.2</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停止按钮</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继电器KA18线圈</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222" w:type="dxa"/>
            <w:vAlign w:val="center"/>
          </w:tcPr>
          <w:p>
            <w:pPr>
              <w:jc w:val="center"/>
              <w:rPr>
                <w:rFonts w:ascii="仿宋" w:hAnsi="仿宋" w:eastAsia="仿宋"/>
                <w:sz w:val="24"/>
                <w:szCs w:val="24"/>
              </w:rPr>
            </w:pPr>
            <w:r>
              <w:rPr>
                <w:rFonts w:ascii="仿宋" w:hAnsi="仿宋" w:eastAsia="仿宋"/>
                <w:sz w:val="24"/>
                <w:szCs w:val="24"/>
              </w:rPr>
              <w:t>I0.3</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急停按钮</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222" w:type="dxa"/>
          </w:tcPr>
          <w:p>
            <w:pPr>
              <w:jc w:val="center"/>
              <w:rPr>
                <w:rFonts w:ascii="仿宋" w:hAnsi="仿宋" w:eastAsia="仿宋"/>
                <w:sz w:val="24"/>
                <w:szCs w:val="24"/>
              </w:rPr>
            </w:pPr>
            <w:r>
              <w:rPr>
                <w:rFonts w:ascii="仿宋" w:hAnsi="仿宋" w:eastAsia="仿宋"/>
                <w:sz w:val="24"/>
                <w:szCs w:val="24"/>
              </w:rPr>
              <w:t>I0.4</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侧风偏航按钮</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222" w:type="dxa"/>
          </w:tcPr>
          <w:p>
            <w:pPr>
              <w:jc w:val="center"/>
              <w:rPr>
                <w:rFonts w:ascii="仿宋" w:hAnsi="仿宋" w:eastAsia="仿宋"/>
                <w:sz w:val="24"/>
                <w:szCs w:val="24"/>
              </w:rPr>
            </w:pPr>
            <w:r>
              <w:rPr>
                <w:rFonts w:ascii="仿宋" w:hAnsi="仿宋" w:eastAsia="仿宋"/>
                <w:sz w:val="24"/>
                <w:szCs w:val="24"/>
              </w:rPr>
              <w:t>I0.5</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恢复按钮</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222" w:type="dxa"/>
          </w:tcPr>
          <w:p>
            <w:pPr>
              <w:jc w:val="center"/>
              <w:rPr>
                <w:rFonts w:ascii="仿宋" w:hAnsi="仿宋" w:eastAsia="仿宋"/>
                <w:sz w:val="24"/>
                <w:szCs w:val="24"/>
              </w:rPr>
            </w:pPr>
            <w:r>
              <w:rPr>
                <w:rFonts w:ascii="仿宋" w:hAnsi="仿宋" w:eastAsia="仿宋"/>
                <w:sz w:val="24"/>
                <w:szCs w:val="24"/>
              </w:rPr>
              <w:t>I0.6</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顺时按钮</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222" w:type="dxa"/>
          </w:tcPr>
          <w:p>
            <w:pPr>
              <w:jc w:val="center"/>
              <w:rPr>
                <w:rFonts w:ascii="仿宋" w:hAnsi="仿宋" w:eastAsia="仿宋"/>
                <w:sz w:val="24"/>
                <w:szCs w:val="24"/>
              </w:rPr>
            </w:pPr>
            <w:r>
              <w:rPr>
                <w:rFonts w:ascii="仿宋" w:hAnsi="仿宋" w:eastAsia="仿宋"/>
                <w:sz w:val="24"/>
                <w:szCs w:val="24"/>
              </w:rPr>
              <w:t>I0.7</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逆时按钮</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222" w:type="dxa"/>
          </w:tcPr>
          <w:p>
            <w:pPr>
              <w:jc w:val="center"/>
              <w:rPr>
                <w:rFonts w:ascii="仿宋" w:hAnsi="仿宋" w:eastAsia="仿宋"/>
                <w:sz w:val="24"/>
                <w:szCs w:val="24"/>
              </w:rPr>
            </w:pPr>
            <w:r>
              <w:rPr>
                <w:rFonts w:ascii="仿宋" w:hAnsi="仿宋" w:eastAsia="仿宋"/>
                <w:sz w:val="24"/>
                <w:szCs w:val="24"/>
              </w:rPr>
              <w:t>I1.0</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风场机构顺时到位开关</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700" w:type="dxa"/>
            <w:vAlign w:val="center"/>
          </w:tcPr>
          <w:p>
            <w:pPr>
              <w:jc w:val="left"/>
              <w:rPr>
                <w:rFonts w:ascii="仿宋" w:hAnsi="仿宋" w:eastAsia="仿宋"/>
                <w:color w:val="000000"/>
                <w:sz w:val="24"/>
              </w:rPr>
            </w:pPr>
            <w:r>
              <w:rPr>
                <w:rFonts w:hint="eastAsia" w:ascii="仿宋" w:hAnsi="仿宋" w:eastAsia="仿宋"/>
                <w:color w:val="000000"/>
                <w:sz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222" w:type="dxa"/>
          </w:tcPr>
          <w:p>
            <w:pPr>
              <w:jc w:val="center"/>
              <w:rPr>
                <w:rFonts w:ascii="仿宋" w:hAnsi="仿宋" w:eastAsia="仿宋"/>
                <w:sz w:val="24"/>
                <w:szCs w:val="24"/>
              </w:rPr>
            </w:pPr>
            <w:r>
              <w:rPr>
                <w:rFonts w:ascii="仿宋" w:hAnsi="仿宋" w:eastAsia="仿宋"/>
                <w:sz w:val="24"/>
                <w:szCs w:val="24"/>
              </w:rPr>
              <w:t>I1.1</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风场机构逆时到位开关</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700"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222" w:type="dxa"/>
          </w:tcPr>
          <w:p>
            <w:pPr>
              <w:jc w:val="center"/>
              <w:rPr>
                <w:rFonts w:ascii="仿宋" w:hAnsi="仿宋" w:eastAsia="仿宋"/>
                <w:sz w:val="24"/>
                <w:szCs w:val="24"/>
              </w:rPr>
            </w:pPr>
            <w:r>
              <w:rPr>
                <w:rFonts w:ascii="仿宋" w:hAnsi="仿宋" w:eastAsia="仿宋"/>
                <w:sz w:val="24"/>
                <w:szCs w:val="24"/>
              </w:rPr>
              <w:t>I1.2</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侧风偏航45°到位开关</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2M</w:t>
            </w:r>
          </w:p>
        </w:tc>
        <w:tc>
          <w:tcPr>
            <w:tcW w:w="2700"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222" w:type="dxa"/>
          </w:tcPr>
          <w:p>
            <w:pPr>
              <w:jc w:val="center"/>
              <w:rPr>
                <w:rFonts w:ascii="仿宋" w:hAnsi="仿宋" w:eastAsia="仿宋"/>
                <w:sz w:val="24"/>
                <w:szCs w:val="24"/>
              </w:rPr>
            </w:pPr>
            <w:r>
              <w:rPr>
                <w:rFonts w:ascii="仿宋" w:hAnsi="仿宋" w:eastAsia="仿宋"/>
                <w:sz w:val="24"/>
                <w:szCs w:val="24"/>
              </w:rPr>
              <w:t>I1.3</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侧风偏航90°到位开关</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18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700"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222" w:type="dxa"/>
          </w:tcPr>
          <w:p>
            <w:pPr>
              <w:jc w:val="center"/>
              <w:rPr>
                <w:rFonts w:ascii="仿宋" w:hAnsi="仿宋" w:eastAsia="仿宋"/>
                <w:sz w:val="24"/>
                <w:szCs w:val="24"/>
              </w:rPr>
            </w:pPr>
            <w:r>
              <w:rPr>
                <w:rFonts w:ascii="仿宋" w:hAnsi="仿宋" w:eastAsia="仿宋"/>
                <w:sz w:val="24"/>
                <w:szCs w:val="24"/>
              </w:rPr>
              <w:t>I1.4</w:t>
            </w:r>
          </w:p>
        </w:tc>
        <w:tc>
          <w:tcPr>
            <w:tcW w:w="2914" w:type="dxa"/>
            <w:vAlign w:val="center"/>
          </w:tcPr>
          <w:p>
            <w:pPr>
              <w:jc w:val="left"/>
              <w:rPr>
                <w:rFonts w:ascii="仿宋" w:hAnsi="仿宋" w:eastAsia="仿宋"/>
                <w:color w:val="000000"/>
                <w:sz w:val="24"/>
              </w:rPr>
            </w:pPr>
            <w:r>
              <w:rPr>
                <w:rFonts w:hint="eastAsia" w:ascii="仿宋" w:hAnsi="仿宋" w:eastAsia="仿宋"/>
                <w:color w:val="000000"/>
                <w:sz w:val="24"/>
              </w:rPr>
              <w:t>侧风偏航初始位开关</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c>
          <w:tcPr>
            <w:tcW w:w="720" w:type="dxa"/>
            <w:tcBorders>
              <w:bottom w:val="single" w:color="auto" w:sz="6" w:space="0"/>
            </w:tcBorders>
            <w:vAlign w:val="center"/>
          </w:tcPr>
          <w:p>
            <w:pPr>
              <w:jc w:val="center"/>
              <w:rPr>
                <w:rFonts w:ascii="仿宋" w:hAnsi="仿宋" w:eastAsia="仿宋"/>
                <w:sz w:val="24"/>
                <w:szCs w:val="24"/>
              </w:rPr>
            </w:pPr>
            <w:r>
              <w:rPr>
                <w:rFonts w:ascii="仿宋" w:hAnsi="仿宋" w:eastAsia="仿宋"/>
                <w:sz w:val="24"/>
                <w:szCs w:val="24"/>
              </w:rPr>
              <w:t>14</w:t>
            </w:r>
          </w:p>
        </w:tc>
        <w:tc>
          <w:tcPr>
            <w:tcW w:w="1189" w:type="dxa"/>
            <w:tcBorders>
              <w:bottom w:val="single" w:color="auto" w:sz="6" w:space="0"/>
            </w:tcBorders>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700" w:type="dxa"/>
            <w:tcBorders>
              <w:bottom w:val="single" w:color="auto" w:sz="6" w:space="0"/>
            </w:tcBorders>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tcBorders>
              <w:bottom w:val="single" w:color="auto" w:sz="6" w:space="0"/>
            </w:tcBorders>
            <w:vAlign w:val="center"/>
          </w:tcPr>
          <w:p>
            <w:pPr>
              <w:jc w:val="center"/>
              <w:rPr>
                <w:rFonts w:ascii="仿宋" w:hAnsi="仿宋" w:eastAsia="仿宋"/>
                <w:sz w:val="24"/>
                <w:szCs w:val="24"/>
              </w:rPr>
            </w:pPr>
            <w:r>
              <w:rPr>
                <w:rFonts w:ascii="仿宋" w:hAnsi="仿宋" w:eastAsia="仿宋"/>
                <w:sz w:val="24"/>
                <w:szCs w:val="24"/>
              </w:rPr>
              <w:t>28</w:t>
            </w:r>
          </w:p>
        </w:tc>
        <w:tc>
          <w:tcPr>
            <w:tcW w:w="1222" w:type="dxa"/>
            <w:tcBorders>
              <w:bottom w:val="single" w:color="auto" w:sz="6" w:space="0"/>
            </w:tcBorders>
          </w:tcPr>
          <w:p>
            <w:pPr>
              <w:jc w:val="center"/>
              <w:rPr>
                <w:rFonts w:ascii="仿宋" w:hAnsi="仿宋" w:eastAsia="仿宋"/>
                <w:sz w:val="24"/>
                <w:szCs w:val="24"/>
              </w:rPr>
            </w:pPr>
            <w:r>
              <w:rPr>
                <w:rFonts w:ascii="仿宋" w:hAnsi="仿宋" w:eastAsia="仿宋"/>
                <w:sz w:val="24"/>
                <w:szCs w:val="24"/>
              </w:rPr>
              <w:t>I1.5</w:t>
            </w:r>
          </w:p>
        </w:tc>
        <w:tc>
          <w:tcPr>
            <w:tcW w:w="2914" w:type="dxa"/>
            <w:tcBorders>
              <w:bottom w:val="single" w:color="auto" w:sz="6" w:space="0"/>
            </w:tcBorders>
            <w:vAlign w:val="center"/>
          </w:tcPr>
          <w:p>
            <w:pPr>
              <w:jc w:val="left"/>
              <w:rPr>
                <w:rFonts w:ascii="仿宋" w:hAnsi="仿宋" w:eastAsia="仿宋"/>
                <w:color w:val="000000"/>
                <w:sz w:val="24"/>
              </w:rPr>
            </w:pPr>
            <w:r>
              <w:rPr>
                <w:rFonts w:hint="eastAsia" w:ascii="仿宋" w:hAnsi="仿宋" w:eastAsia="仿宋"/>
                <w:color w:val="000000"/>
                <w:sz w:val="24"/>
              </w:rPr>
              <w:t>风速检测信号</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 xml:space="preserve"> PLC接线的线径和颜色要求</w:t>
      </w:r>
    </w:p>
    <w:tbl>
      <w:tblPr>
        <w:tblStyle w:val="8"/>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hint="eastAsia" w:ascii="仿宋" w:hAnsi="仿宋" w:eastAsia="仿宋"/>
                <w:szCs w:val="21"/>
              </w:rPr>
              <w:t xml:space="preserve"> </w:t>
            </w: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I1.0</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2M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I0.7</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r>
              <w:rPr>
                <w:rFonts w:ascii="仿宋" w:hAnsi="仿宋" w:eastAsia="仿宋"/>
                <w:szCs w:val="21"/>
              </w:rPr>
              <w:t>Q1.1</w:t>
            </w:r>
          </w:p>
        </w:tc>
        <w:tc>
          <w:tcPr>
            <w:tcW w:w="1275"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bl>
    <w:p>
      <w:pPr>
        <w:spacing w:line="360" w:lineRule="auto"/>
        <w:ind w:left="482"/>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3pt;width:386.25pt;" o:ole="t" filled="f" o:preferrelative="t" stroked="f" coordsize="21600,21600">
            <v:path/>
            <v:fill on="f" focussize="0,0"/>
            <v:stroke on="f" joinstyle="miter"/>
            <v:imagedata r:id="rId25" o:title=""/>
            <o:lock v:ext="edit" aspectratio="f"/>
            <w10:wrap type="none"/>
            <w10:anchorlock/>
          </v:shape>
          <o:OLEObject Type="Embed" ProgID="Visio.Drawing.11" ShapeID="_x0000_i1029" DrawAspect="Content" ObjectID="_1468075729" r:id="rId24">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eastAsia="仿宋"/>
          <w:sz w:val="24"/>
          <w:szCs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eastAsia="仿宋"/>
          <w:sz w:val="24"/>
          <w:szCs w:val="24"/>
        </w:rPr>
        <w:t>。其中继电器</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用于风场</w:t>
      </w:r>
      <w:r>
        <w:rPr>
          <w:rFonts w:hint="eastAsia" w:ascii="仿宋" w:hAnsi="仿宋" w:eastAsia="仿宋"/>
          <w:sz w:val="24"/>
          <w:szCs w:val="24"/>
        </w:rPr>
        <w:t>逆</w:t>
      </w:r>
      <w:r>
        <w:rPr>
          <w:rFonts w:ascii="仿宋" w:hAnsi="仿宋" w:eastAsia="仿宋"/>
          <w:sz w:val="24"/>
          <w:szCs w:val="24"/>
        </w:rPr>
        <w:t>时运动控制，KA1</w:t>
      </w:r>
      <w:r>
        <w:rPr>
          <w:rFonts w:hint="eastAsia" w:ascii="仿宋" w:hAnsi="仿宋" w:eastAsia="仿宋"/>
          <w:sz w:val="24"/>
          <w:szCs w:val="24"/>
        </w:rPr>
        <w:t>6</w:t>
      </w:r>
      <w:r>
        <w:rPr>
          <w:rFonts w:ascii="仿宋" w:hAnsi="仿宋" w:eastAsia="仿宋"/>
          <w:sz w:val="24"/>
          <w:szCs w:val="24"/>
        </w:rPr>
        <w:t>用于风场</w:t>
      </w:r>
      <w:r>
        <w:rPr>
          <w:rFonts w:hint="eastAsia" w:ascii="仿宋" w:hAnsi="仿宋" w:eastAsia="仿宋"/>
          <w:sz w:val="24"/>
          <w:szCs w:val="24"/>
        </w:rPr>
        <w:t>顺</w:t>
      </w:r>
      <w:r>
        <w:rPr>
          <w:rFonts w:ascii="仿宋" w:hAnsi="仿宋" w:eastAsia="仿宋"/>
          <w:sz w:val="24"/>
          <w:szCs w:val="24"/>
        </w:rPr>
        <w:t>时运动控制，继电器KA1</w:t>
      </w:r>
      <w:r>
        <w:rPr>
          <w:rFonts w:hint="eastAsia" w:ascii="仿宋" w:hAnsi="仿宋" w:eastAsia="仿宋"/>
          <w:sz w:val="24"/>
          <w:szCs w:val="24"/>
        </w:rPr>
        <w:t>7</w:t>
      </w:r>
      <w:r>
        <w:rPr>
          <w:rFonts w:ascii="仿宋" w:hAnsi="仿宋" w:eastAsia="仿宋"/>
          <w:sz w:val="24"/>
          <w:szCs w:val="24"/>
        </w:rPr>
        <w:t>用于</w:t>
      </w:r>
      <w:r>
        <w:rPr>
          <w:rFonts w:eastAsia="仿宋"/>
          <w:sz w:val="24"/>
          <w:szCs w:val="24"/>
        </w:rPr>
        <w:t>尾舵侧</w:t>
      </w:r>
      <w:r>
        <w:rPr>
          <w:rFonts w:hint="eastAsia" w:eastAsia="仿宋"/>
          <w:sz w:val="24"/>
          <w:szCs w:val="24"/>
        </w:rPr>
        <w:t>风偏航的控制</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用于尾舵撤销侧风偏航控制</w:t>
      </w:r>
      <w:r>
        <w:rPr>
          <w:rFonts w:hint="eastAsia" w:ascii="仿宋" w:hAnsi="仿宋" w:eastAsia="仿宋"/>
          <w:sz w:val="24"/>
          <w:szCs w:val="24"/>
        </w:rPr>
        <w:t>。继电</w:t>
      </w:r>
      <w:r>
        <w:rPr>
          <w:rFonts w:hint="eastAsia" w:eastAsia="仿宋"/>
          <w:sz w:val="24"/>
          <w:szCs w:val="24"/>
        </w:rPr>
        <w:t>器组的接线见图14所示。</w:t>
      </w:r>
    </w:p>
    <w:p>
      <w:pPr>
        <w:spacing w:line="300" w:lineRule="auto"/>
        <w:ind w:firstLine="480" w:firstLineChars="200"/>
        <w:rPr>
          <w:rFonts w:ascii="仿宋" w:hAnsi="仿宋" w:eastAsia="仿宋"/>
          <w:b/>
          <w:sz w:val="24"/>
          <w:szCs w:val="24"/>
        </w:rPr>
      </w:pPr>
      <w:r>
        <w:rPr>
          <w:rFonts w:hint="eastAsia" w:eastAsia="仿宋"/>
          <w:sz w:val="24"/>
          <w:szCs w:val="24"/>
        </w:rPr>
        <w:t>②继电器布线与接线要有合理的线标套管，其中线标</w:t>
      </w:r>
      <w:r>
        <w:rPr>
          <w:rFonts w:hint="eastAsia" w:ascii="仿宋" w:hAnsi="仿宋" w:eastAsia="仿宋"/>
          <w:sz w:val="24"/>
          <w:szCs w:val="24"/>
        </w:rPr>
        <w:t>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spacing w:line="300" w:lineRule="auto"/>
        <w:ind w:left="720"/>
        <w:rPr>
          <w:rFonts w:ascii="仿宋" w:hAnsi="仿宋" w:eastAsia="仿宋"/>
          <w:b/>
          <w:sz w:val="24"/>
          <w:szCs w:val="24"/>
        </w:rPr>
      </w:pPr>
      <w:r>
        <w:rPr>
          <w:rFonts w:hint="eastAsia" w:ascii="仿宋" w:hAnsi="仿宋" w:eastAsia="仿宋"/>
          <w:b/>
          <w:sz w:val="24"/>
          <w:szCs w:val="24"/>
        </w:rPr>
        <w:t>三、风电场的编程与调试（7分）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侧风偏航45°到位开关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bookmarkStart w:id="0" w:name="_Hlk482445514"/>
      <w:r>
        <w:rPr>
          <w:rFonts w:hint="eastAsia" w:ascii="仿宋" w:hAnsi="仿宋" w:eastAsia="仿宋"/>
          <w:sz w:val="24"/>
          <w:szCs w:val="24"/>
        </w:rPr>
        <w:t>断开可调电阻空开，手动设定风力供电系统系统内变频器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bookmarkEnd w:id="0"/>
    <w:p>
      <w:pPr>
        <w:spacing w:line="300" w:lineRule="auto"/>
        <w:rPr>
          <w:rFonts w:ascii="仿宋" w:hAnsi="仿宋" w:eastAsia="仿宋"/>
          <w:sz w:val="24"/>
        </w:rPr>
      </w:pPr>
    </w:p>
    <w:p>
      <w:pPr>
        <w:spacing w:line="300" w:lineRule="auto"/>
        <w:rPr>
          <w:rFonts w:ascii="仿宋" w:hAnsi="仿宋" w:eastAsia="仿宋"/>
          <w:sz w:val="24"/>
        </w:rPr>
      </w:pPr>
    </w:p>
    <w:p>
      <w:pPr>
        <w:spacing w:line="300" w:lineRule="auto"/>
        <w:rPr>
          <w:rFonts w:ascii="仿宋" w:hAnsi="仿宋" w:eastAsia="仿宋"/>
          <w:sz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widowControl/>
        <w:jc w:val="left"/>
        <w:rPr>
          <w:rFonts w:ascii="宋体" w:hAnsi="宋体"/>
          <w:b/>
          <w:bCs/>
          <w:sz w:val="24"/>
          <w:szCs w:val="24"/>
        </w:rPr>
      </w:pPr>
      <w:r>
        <w:rPr>
          <w:rFonts w:ascii="宋体" w:hAnsi="宋体"/>
          <w:b/>
          <w:bCs/>
          <w:sz w:val="24"/>
          <w:szCs w:val="24"/>
        </w:rPr>
        <w:br w:type="page"/>
      </w:r>
    </w:p>
    <w:p>
      <w:pPr>
        <w:spacing w:line="300" w:lineRule="auto"/>
        <w:ind w:firstLine="482" w:firstLineChars="200"/>
        <w:rPr>
          <w:rFonts w:ascii="宋体" w:hAnsi="宋体"/>
          <w:b/>
          <w:bCs/>
          <w:sz w:val="24"/>
          <w:szCs w:val="24"/>
        </w:rPr>
      </w:pPr>
      <w:r>
        <w:rPr>
          <w:rFonts w:hint="eastAsia" w:ascii="宋体" w:hAnsi="宋体"/>
          <w:b/>
          <w:bCs/>
          <w:sz w:val="24"/>
          <w:szCs w:val="24"/>
        </w:rPr>
        <w:t>任务四：风光互补系统调度运营管理(22%)</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一、逆变与负载系统的安装与接线（4分）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4pt;width:300pt;" o:ole="t" filled="f" o:preferrelative="t" stroked="f" coordsize="21600,21600">
            <v:path/>
            <v:fill on="f" focussize="0,0"/>
            <v:stroke on="f" joinstyle="miter"/>
            <v:imagedata r:id="rId27" croptop="17094f" cropbottom="2729f" o:title=""/>
            <o:lock v:ext="edit" aspectratio="f"/>
            <w10:wrap type="none"/>
            <w10:anchorlock/>
          </v:shape>
          <o:OLEObject Type="Embed" ProgID="Visio.Drawing.11" ShapeID="_x0000_i1030" DrawAspect="Content" ObjectID="_1468075730" r:id="rId26">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.设置逆变器输出频率为52Hz，合理设置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w:t>
      </w:r>
      <w:r>
        <w:rPr>
          <w:rFonts w:hint="eastAsia" w:ascii="仿宋" w:hAnsi="仿宋" w:eastAsia="仿宋"/>
          <w:sz w:val="24"/>
          <w:szCs w:val="24"/>
        </w:rPr>
        <w:t>187V，使用示波器测量逆变器的输出波形，要求在波形右上角显示测得波形的频率及最大值，截图保存在U盘和手提计算机的桌面，文件名为：52Hz波形。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600ns、2700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w:t>
      </w:r>
      <w:r>
        <w:rPr>
          <w:rFonts w:hint="eastAsia" w:ascii="仿宋" w:hAnsi="仿宋" w:eastAsia="仿宋"/>
          <w:sz w:val="24"/>
          <w:szCs w:val="24"/>
        </w:rPr>
        <w:t>6</w:t>
      </w:r>
      <w:r>
        <w:rPr>
          <w:rFonts w:ascii="仿宋" w:hAnsi="仿宋" w:eastAsia="仿宋"/>
          <w:sz w:val="24"/>
          <w:szCs w:val="24"/>
        </w:rPr>
        <w:t>00ns死区SPWM波形、2700ns死区SPWM波形。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5"/>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表5  电源类型定义表</w:t>
      </w:r>
    </w:p>
    <w:tbl>
      <w:tblPr>
        <w:tblStyle w:val="8"/>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表6 多能源、多负载能源调度运营表</w:t>
      </w:r>
    </w:p>
    <w:tbl>
      <w:tblPr>
        <w:tblStyle w:val="8"/>
        <w:tblW w:w="8220" w:type="dxa"/>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1Hz闪烁），将常用电站控制旋钮置于投入，则常用电站投入发电，同时投射灯1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2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2）到达初始位后，备用电站1投入，根据表6的多电站、多负载运营策略表开始运行。投射灯2点亮，警示灯工作，光伏电站对光跟踪，跟踪到位后，摆杆由东向西断续运动，即摆杆先移动6s停止，同时光伏电站对光跟踪（在此过程中，摆杆与光伏电站对光跟踪同时进行，下同），跟踪到后，摆杆再次移动6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2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（2）到达初始位后，备用电站2投入，轴流风机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若顺时运动到限位位置，停止3s后,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高风速时，电机负载才能启动运行（以工频运行，上升时间10秒）。</w:t>
      </w:r>
      <w:r>
        <w:rPr>
          <w:rFonts w:hint="eastAsia" w:ascii="仿宋" w:hAnsi="仿宋" w:eastAsia="仿宋"/>
          <w:sz w:val="24"/>
          <w:szCs w:val="24"/>
        </w:rPr>
        <w:t>轴流风机顺时针运动时频率设定值为50H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left="48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站2投入/切出旋钮控件及其工作状态指示灯，当电站投入时，相应指示灯控件亮，否则熄灭。设计风速检测指示灯，按照任务四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②</w:t>
      </w:r>
      <w:r>
        <w:rPr>
          <w:rFonts w:hint="eastAsia" w:ascii="仿宋" w:hAnsi="仿宋" w:eastAsia="仿宋"/>
          <w:sz w:val="24"/>
          <w:szCs w:val="24"/>
        </w:rPr>
        <w:t>控制轴流风机的变频器频率设定值控件及实际值显示控件，轴流风机的运行时间显示控件（累计运行时间）。</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③</w:t>
      </w:r>
      <w:r>
        <w:rPr>
          <w:rFonts w:hint="eastAsia" w:ascii="仿宋" w:hAnsi="仿宋" w:eastAsia="仿宋"/>
          <w:sz w:val="24"/>
          <w:szCs w:val="24"/>
        </w:rPr>
        <w:t>能够根据任务四中多能源、多负载能源调度运营中的任务要求实现表10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566" w:firstLineChars="236"/>
        <w:jc w:val="left"/>
        <w:rPr>
          <w:rFonts w:ascii="仿宋" w:hAnsi="仿宋" w:eastAsia="仿宋"/>
          <w:sz w:val="24"/>
          <w:szCs w:val="24"/>
        </w:rPr>
      </w:pPr>
      <w:r>
        <w:rPr>
          <w:rFonts w:hint="eastAsia" w:ascii="仿宋" w:hAnsi="仿宋" w:eastAsia="仿宋" w:cs="仿宋"/>
          <w:sz w:val="24"/>
          <w:szCs w:val="24"/>
        </w:rPr>
        <w:t>④</w:t>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四、风光互补发电系统实时监控（7分）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9" r:link="rId30"/>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（5分）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14"/>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5"/>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2745740"/>
            <wp:effectExtent l="0" t="0" r="6350" b="10160"/>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3" cstate="print">
                      <a:extLst>
                        <a:ext uri="{28A0092B-C50C-407E-A947-70E740481C1C}">
                          <a14:useLocalDpi xmlns:a14="http://schemas.microsoft.com/office/drawing/2010/main" val="0"/>
                        </a:ext>
                      </a:extLst>
                    </a:blip>
                    <a:srcRect b="13347"/>
                    <a:stretch>
                      <a:fillRect/>
                    </a:stretch>
                  </pic:blipFill>
                  <pic:spPr>
                    <a:xfrm>
                      <a:off x="0" y="0"/>
                      <a:ext cx="4578350" cy="274574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检测1号、2号光伏电站同时发电的输出特性；1号、2号光伏电站同时发电，但遮挡1号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号、2号光伏电站同时发电，遮挡1号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Pr>
        <w:spacing w:line="300" w:lineRule="auto"/>
        <w:rPr>
          <w:rFonts w:ascii="仿宋" w:hAnsi="仿宋" w:eastAsia="仿宋"/>
          <w:sz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任务五：能源信息化管理（</w:t>
      </w:r>
      <w:r>
        <w:rPr>
          <w:rFonts w:ascii="仿宋" w:hAnsi="仿宋" w:eastAsia="仿宋"/>
          <w:b/>
          <w:sz w:val="24"/>
          <w:szCs w:val="24"/>
        </w:rPr>
        <w:t>1</w:t>
      </w:r>
      <w:r>
        <w:rPr>
          <w:rFonts w:hint="eastAsia" w:ascii="仿宋" w:hAnsi="仿宋" w:eastAsia="仿宋"/>
          <w:b/>
          <w:sz w:val="24"/>
          <w:szCs w:val="24"/>
        </w:rPr>
        <w:t>8%）</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numPr>
          <w:ilvl w:val="0"/>
          <w:numId w:val="6"/>
        </w:numPr>
        <w:spacing w:line="300" w:lineRule="auto"/>
        <w:rPr>
          <w:rFonts w:ascii="仿宋" w:hAnsi="仿宋" w:eastAsia="仿宋"/>
          <w:b/>
          <w:sz w:val="24"/>
          <w:szCs w:val="24"/>
        </w:rPr>
      </w:pPr>
      <w:r>
        <w:rPr>
          <w:rFonts w:hint="eastAsia" w:ascii="仿宋" w:hAnsi="仿宋" w:eastAsia="仿宋"/>
          <w:b/>
          <w:sz w:val="24"/>
          <w:szCs w:val="24"/>
        </w:rPr>
        <w:t>云平台搭建组网与通讯设置（5分）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404995" cy="3239770"/>
            <wp:effectExtent l="0" t="0" r="1905"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4404995" cy="3239770"/>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92.168.2.1</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92.168.2.2</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1状态、投射灯2状态、风力发电机偏航状态、光伏电站电压、光伏电站电流、风力电站电压、风力电站电流、逆变电压、逆变电流，共9组数据，同时将6块电表的数据作为Mod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ind w:firstLine="480" w:firstLineChars="200"/>
        <w:rPr>
          <w:rFonts w:ascii="仿宋" w:hAnsi="仿宋" w:eastAsia="仿宋"/>
          <w:sz w:val="24"/>
        </w:rPr>
      </w:pPr>
    </w:p>
    <w:p>
      <w:pPr>
        <w:spacing w:line="300" w:lineRule="auto"/>
        <w:jc w:val="center"/>
      </w:pPr>
      <w:r>
        <w:drawing>
          <wp:inline distT="0" distB="0" distL="0" distR="0">
            <wp:extent cx="5274310" cy="27851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5"/>
                    <a:stretch>
                      <a:fillRect/>
                    </a:stretch>
                  </pic:blipFill>
                  <pic:spPr>
                    <a:xfrm>
                      <a:off x="0" y="0"/>
                      <a:ext cx="5274310" cy="2785110"/>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光伏电站电压、电流，风电场输出电压、电流，逆变输出电压、电压；能够关联投射灯1和灯2的状态（指示灯变化），能够关联风机尾翼偏航状态（指示灯变化），完成后保存界面。</w:t>
      </w:r>
    </w:p>
    <w:p>
      <w:pPr>
        <w:pStyle w:val="13"/>
        <w:spacing w:line="300" w:lineRule="auto"/>
        <w:ind w:left="414" w:firstLine="0" w:firstLineChars="0"/>
        <w:rPr>
          <w:rFonts w:ascii="仿宋" w:hAnsi="仿宋" w:eastAsia="仿宋"/>
          <w:b/>
          <w:sz w:val="24"/>
          <w:szCs w:val="24"/>
        </w:rPr>
      </w:pPr>
      <w:r>
        <w:rPr>
          <w:rFonts w:hint="eastAsia" w:ascii="仿宋" w:hAnsi="仿宋" w:eastAsia="仿宋"/>
          <w:b/>
          <w:sz w:val="24"/>
          <w:szCs w:val="24"/>
        </w:rPr>
        <w:t>四、能源信息化管理与运营（4分）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w:t>
      </w:r>
      <w:r>
        <w:rPr>
          <w:rFonts w:hint="eastAsia" w:ascii="仿宋" w:hAnsi="仿宋" w:eastAsia="仿宋"/>
          <w:sz w:val="24"/>
        </w:rPr>
        <w:t>光伏电站电压、电流，风电场输出电压、电流，逆变输出电压、电压；能够展示投射灯1和灯2的状态（指示灯变化），能够展示风机尾翼偏航状态（指示灯变化），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Pr>
        <w:spacing w:line="300" w:lineRule="auto"/>
        <w:rPr>
          <w:rFonts w:ascii="仿宋" w:hAnsi="仿宋" w:eastAsia="仿宋"/>
          <w:sz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任务六：职业素养(7%)</w:t>
      </w: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7"/>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8"/>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保持遮挡1号光伏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8"/>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保持遮挡1号光伏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8"/>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38" o:spid="_x0000_s1038" o:spt="75" type="#_x0000_t75" style="position:absolute;left:0pt;margin-left:70.95pt;margin-top:-49.15pt;height:299.8pt;width:379.15pt;z-index:251673600;mso-width-relative:page;mso-height-relative:page;" o:ole="t" filled="f" o:preferrelative="t" stroked="f" coordsize="21600,21600">
            <v:path/>
            <v:fill on="f" focussize="0,0"/>
            <v:stroke on="f" joinstyle="miter"/>
            <v:imagedata r:id="rId37" o:title=""/>
            <o:lock v:ext="edit" aspectratio="t"/>
          </v:shape>
          <o:OLEObject Type="Embed" ProgID="Visio.Drawing.11" ShapeID="_x0000_s1038" DrawAspect="Content" ObjectID="_1468075731" r:id="rId36">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ascii="宋体" w:hAnsi="宋体"/>
          <w:szCs w:val="21"/>
        </w:rPr>
      </w:pPr>
      <w:r>
        <w:rPr>
          <w:rFonts w:ascii="宋体" w:hAnsi="宋体"/>
          <w:szCs w:val="21"/>
        </w:rPr>
        <w:pict>
          <v:shape id="_x0000_s1040" o:spid="_x0000_s1040" o:spt="75" type="#_x0000_t75" style="position:absolute;left:0pt;margin-left:71.7pt;margin-top:12.65pt;height:299.8pt;width:379.15pt;z-index:251675648;mso-width-relative:page;mso-height-relative:page;" o:ole="t" filled="f" o:preferrelative="t" stroked="f" coordsize="21600,21600">
            <v:path/>
            <v:fill on="f" focussize="0,0"/>
            <v:stroke on="f" joinstyle="miter"/>
            <v:imagedata r:id="rId37" o:title=""/>
            <o:lock v:ext="edit" aspectratio="t"/>
          </v:shape>
          <o:OLEObject Type="Embed" ProgID="Visio.Drawing.11" ShapeID="_x0000_s1040" DrawAspect="Content" ObjectID="_1468075732" r:id="rId38">
            <o:LockedField>false</o:LockedField>
          </o:OLEObject>
        </w:pict>
      </w: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8"/>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39" o:spid="_x0000_s1039" o:spt="75" type="#_x0000_t75" style="position:absolute;left:0pt;margin-left:64.85pt;margin-top:13.15pt;height:273.1pt;width:343.7pt;z-index:251674624;mso-width-relative:page;mso-height-relative:page;" o:ole="t" filled="f" o:preferrelative="t" stroked="f" coordsize="21600,21600">
            <v:path/>
            <v:fill on="f" focussize="0,0"/>
            <v:stroke on="f" joinstyle="miter"/>
            <v:imagedata r:id="rId40" o:title=""/>
            <o:lock v:ext="edit" aspectratio="t"/>
          </v:shape>
          <o:OLEObject Type="Embed" ProgID="Visio.Drawing.11" ShapeID="_x0000_s1039" DrawAspect="Content" ObjectID="_1468075733" r:id="rId39">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ind w:firstLine="482" w:firstLineChars="200"/>
        <w:rPr>
          <w:rFonts w:ascii="仿宋" w:hAnsi="仿宋" w:eastAsia="仿宋"/>
          <w:b/>
          <w:sz w:val="24"/>
        </w:rPr>
      </w:pPr>
    </w:p>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spacing w:line="560" w:lineRule="exact"/>
      </w:pPr>
    </w:p>
    <w:p>
      <w:pPr>
        <w:spacing w:line="560" w:lineRule="exact"/>
        <w:sectPr>
          <w:footerReference r:id="rId4" w:type="default"/>
          <w:pgSz w:w="11906" w:h="16838"/>
          <w:pgMar w:top="1440" w:right="1800" w:bottom="1440" w:left="1800" w:header="851" w:footer="992" w:gutter="0"/>
          <w:pgNumType w:start="1"/>
          <w:cols w:space="425" w:num="1"/>
          <w:docGrid w:type="lines" w:linePitch="312" w:charSpace="0"/>
        </w:sectPr>
      </w:pPr>
    </w:p>
    <w:p>
      <w:pPr>
        <w:widowControl/>
        <w:jc w:val="left"/>
        <w:rPr>
          <w:rFonts w:ascii="仿宋_GB2312" w:eastAsia="仿宋_GB2312" w:cs="仿宋_GB2312"/>
          <w:sz w:val="30"/>
          <w:szCs w:val="30"/>
        </w:r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pStyle w:val="2"/>
        <w:ind w:left="0" w:firstLine="0"/>
        <w:rPr>
          <w:rFonts w:ascii="仿宋_GB2312" w:eastAsia="仿宋_GB2312"/>
          <w:sz w:val="28"/>
          <w:szCs w:val="28"/>
        </w:rPr>
      </w:pPr>
      <w:r>
        <w:rPr>
          <w:rFonts w:hint="eastAsia" w:ascii="仿宋_GB2312" w:eastAsia="仿宋_GB2312"/>
          <w:sz w:val="28"/>
          <w:szCs w:val="28"/>
        </w:rPr>
        <w:t>技能大赛评分表（任务一）</w:t>
      </w:r>
    </w:p>
    <w:tbl>
      <w:tblPr>
        <w:tblStyle w:val="16"/>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441"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eastAsia="仿宋_GB2312" w:hAnsiTheme="minorHAnsi" w:cstheme="minorBidi"/>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rPr>
                <w:rFonts w:ascii="仿宋_GB2312" w:eastAsia="仿宋_GB2312" w:hAnsiTheme="minorHAnsi" w:cstheme="minorBidi"/>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分）“阵列倾角优化”、“组件选择”、“方阵布置”、“逆变器设计”、“直流传输方案”、“模拟运行”共六个界面，没有按照要求截图的，或者截图里不能体现参数信息的，每一处扣1分。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技能大赛评分表（任务二）</w:t>
      </w:r>
    </w:p>
    <w:tbl>
      <w:tblPr>
        <w:tblStyle w:val="16"/>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hAnsiTheme="minorHAnsi" w:cstheme="minorBidi"/>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75"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的安装与搭建</w:t>
            </w:r>
          </w:p>
          <w:p>
            <w:pPr>
              <w:spacing w:after="1" w:line="268" w:lineRule="auto"/>
              <w:rPr>
                <w:rFonts w:ascii="仿宋_GB2312" w:eastAsia="仿宋_GB2312" w:hAnsiTheme="minorHAnsi" w:cstheme="minorBidi"/>
              </w:rPr>
            </w:pPr>
            <w:r>
              <w:rPr>
                <w:rFonts w:hint="eastAsia" w:ascii="仿宋_GB2312" w:hAnsi="微软雅黑" w:eastAsia="仿宋_GB2312" w:cs="微软雅黑"/>
                <w:sz w:val="24"/>
                <w:szCs w:val="24"/>
              </w:rPr>
              <w:t>（9分）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．控制单元的布线与接线（2分）连接线错接1根扣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eastAsia="仿宋_GB2312" w:hAnsiTheme="minorHAnsi" w:cstheme="minorBidi"/>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 没有按表中配置要求接线的每个端口扣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 xml:space="preserve">分；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ascii="仿宋_GB2312" w:hAnsi="微软雅黑" w:eastAsia="仿宋_GB2312" w:cs="微软雅黑"/>
                <w:sz w:val="24"/>
                <w:szCs w:val="21"/>
              </w:rPr>
              <w:t>5</w:t>
            </w:r>
            <w:r>
              <w:rPr>
                <w:rFonts w:hint="eastAsia" w:ascii="仿宋_GB2312" w:hAnsi="微软雅黑" w:eastAsia="仿宋_GB2312" w:cs="微软雅黑"/>
                <w:sz w:val="24"/>
                <w:szCs w:val="21"/>
              </w:rPr>
              <w:t>.继电器的布线与接线（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分）没按表中要求配置继电器或按照图要求接线，出现一次扣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eastAsia="仿宋_GB2312" w:hAnsiTheme="minorHAnsi" w:cstheme="minorBidi"/>
              </w:rPr>
            </w:pPr>
            <w:r>
              <w:rPr>
                <w:rFonts w:hint="eastAsia" w:ascii="仿宋_GB2312" w:hAnsi="微软雅黑" w:eastAsia="仿宋_GB2312" w:cs="微软雅黑"/>
                <w:sz w:val="24"/>
                <w:szCs w:val="24"/>
              </w:rPr>
              <w:t>（5分）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rPr>
            </w:pPr>
            <w:r>
              <w:rPr>
                <w:rFonts w:ascii="仿宋_GB2312" w:hAnsi="微软雅黑" w:eastAsia="仿宋_GB2312" w:cs="微软雅黑"/>
                <w:sz w:val="24"/>
              </w:rPr>
              <w:t>6</w:t>
            </w:r>
            <w:r>
              <w:rPr>
                <w:rFonts w:hint="eastAsia" w:ascii="仿宋_GB2312" w:hAnsi="微软雅黑" w:eastAsia="仿宋_GB2312" w:cs="微软雅黑"/>
                <w:sz w:val="24"/>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rPr>
              <w:t>2个特性曲线图</w:t>
            </w:r>
            <w:r>
              <w:rPr>
                <w:rFonts w:hint="eastAsia" w:ascii="仿宋_GB2312" w:hAnsi="微软雅黑" w:eastAsia="仿宋_GB2312" w:cs="微软雅黑"/>
                <w:sz w:val="24"/>
              </w:rPr>
              <w:t>（共6条曲线），每缺少一条曲线扣</w:t>
            </w:r>
            <w:r>
              <w:rPr>
                <w:rFonts w:ascii="仿宋_GB2312" w:hAnsi="微软雅黑" w:eastAsia="仿宋_GB2312" w:cs="微软雅黑"/>
                <w:sz w:val="24"/>
              </w:rPr>
              <w:t>0.3</w:t>
            </w:r>
            <w:r>
              <w:rPr>
                <w:rFonts w:hint="eastAsia" w:ascii="仿宋_GB2312" w:hAnsi="微软雅黑" w:eastAsia="仿宋_GB2312" w:cs="微软雅黑"/>
                <w:sz w:val="24"/>
              </w:rPr>
              <w:t>分，曲线没有充满80%以上的区域，各扣0.2分，曲线没有单位或单位不正确的每处扣0</w:t>
            </w:r>
            <w:r>
              <w:rPr>
                <w:rFonts w:ascii="仿宋_GB2312" w:hAnsi="微软雅黑" w:eastAsia="仿宋_GB2312" w:cs="微软雅黑"/>
                <w:sz w:val="24"/>
              </w:rPr>
              <w:t>.2分</w:t>
            </w:r>
            <w:r>
              <w:rPr>
                <w:rFonts w:hint="eastAsia" w:ascii="仿宋_GB2312" w:hAnsi="微软雅黑" w:eastAsia="仿宋_GB2312" w:cs="微软雅黑"/>
                <w:sz w:val="24"/>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9"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ind w:firstLine="480"/>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7.回答问题（2分）根据参考答案和评分标准酌情扣分。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三、光伏电站的编程与调试</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（9分）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9.单循环调试（5分）方位定义错误，各扣1分，灯1、灯2定义错误，扣0.5分。分别按下面板向东、向西、向北和向南、东西、西东、灯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rPr>
              <w:t>10</w:t>
            </w:r>
            <w:r>
              <w:rPr>
                <w:rFonts w:ascii="仿宋_GB2312" w:hAnsi="微软雅黑" w:eastAsia="仿宋_GB2312" w:cs="微软雅黑"/>
                <w:sz w:val="24"/>
                <w:szCs w:val="24"/>
              </w:rPr>
              <w:t>.</w:t>
            </w:r>
            <w:r>
              <w:rPr>
                <w:rFonts w:hint="eastAsia" w:asciiTheme="minorHAnsi" w:hAnsiTheme="minorHAnsi" w:eastAsiaTheme="minorEastAsia"/>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ind w:firstLine="480"/>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rPr>
              <w:t>11</w:t>
            </w:r>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1分。按下常用电站、备用电站1、备用电站2的调试按钮，没有按要求运营的，每处扣0</w:t>
            </w:r>
            <w:r>
              <w:rPr>
                <w:rFonts w:ascii="仿宋_GB2312" w:hAnsi="微软雅黑" w:eastAsia="仿宋_GB2312" w:cs="微软雅黑"/>
                <w:sz w:val="24"/>
                <w:szCs w:val="24"/>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技能大赛评分表（任务三）</w:t>
      </w:r>
    </w:p>
    <w:tbl>
      <w:tblPr>
        <w:tblStyle w:val="16"/>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77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hAnsiTheme="minorHAnsi" w:cstheme="minorBidi"/>
              </w:rPr>
            </w:pPr>
            <w:r>
              <w:rPr>
                <w:rFonts w:hint="eastAsia" w:ascii="仿宋_GB2312" w:hAnsi="微软雅黑" w:eastAsia="仿宋_GB2312" w:cs="微软雅黑"/>
                <w:sz w:val="24"/>
              </w:rPr>
              <w:t>风电场的搭建</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一、风力场的安装与搭建（7分）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1．风电场布线与接线（</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分）：连接线错接1根扣</w:t>
            </w:r>
            <w:r>
              <w:rPr>
                <w:rFonts w:ascii="仿宋_GB2312" w:hAnsi="微软雅黑" w:eastAsia="仿宋_GB2312" w:cs="微软雅黑"/>
                <w:sz w:val="24"/>
                <w:szCs w:val="24"/>
              </w:rPr>
              <w:t>0.1</w:t>
            </w:r>
            <w:r>
              <w:rPr>
                <w:rFonts w:hint="eastAsia" w:ascii="仿宋_GB2312" w:hAnsi="微软雅黑" w:eastAsia="仿宋_GB2312" w:cs="微软雅黑"/>
                <w:sz w:val="24"/>
                <w:szCs w:val="24"/>
              </w:rPr>
              <w:t>分；没有采用接插件或没有经端子排而直接接继电器，扣 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分；端子接线处松动或接线处露铜超1mm 或无号码管或号码管错或冷压头压痕位置错误或电站走线不整齐，各扣0.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分。缺少走线槽盖板，扣0.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ind w:firstLine="480"/>
              <w:jc w:val="center"/>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2．控制单元的布线与接线（2分）连接线错接1根扣0</w:t>
            </w:r>
            <w:r>
              <w:rPr>
                <w:rFonts w:ascii="仿宋_GB2312" w:hAnsi="微软雅黑" w:eastAsia="仿宋_GB2312" w:cs="微软雅黑"/>
                <w:sz w:val="24"/>
                <w:szCs w:val="24"/>
              </w:rPr>
              <w:t>.</w:t>
            </w:r>
            <w:r>
              <w:rPr>
                <w:rFonts w:hint="eastAsia" w:ascii="仿宋_GB2312" w:hAnsi="微软雅黑" w:eastAsia="仿宋_GB2312" w:cs="微软雅黑"/>
                <w:sz w:val="24"/>
                <w:szCs w:val="24"/>
              </w:rPr>
              <w:t>1分；端子接线处松动或接线处露铜超1mm或无号码管或冷压头压痕位置错误或号码管错，各扣0.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4.继电器配置、布线与接线（2分）没按要求配置继电器或按照图要求接线，出现一次扣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rPr>
              <w:t>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二、风力发电机的特性测试 </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000000" w:sz="4" w:space="0"/>
              <w:left w:val="single" w:color="000000" w:sz="4" w:space="0"/>
              <w:right w:val="single" w:color="000000"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000000" w:sz="4" w:space="0"/>
              <w:left w:val="single" w:color="000000" w:sz="4" w:space="0"/>
              <w:right w:val="single" w:color="000000" w:sz="4" w:space="0"/>
            </w:tcBorders>
            <w:vAlign w:val="center"/>
          </w:tcPr>
          <w:p>
            <w:pPr>
              <w:spacing w:after="35"/>
              <w:rPr>
                <w:rFonts w:ascii="仿宋_GB2312" w:eastAsia="仿宋_GB2312" w:hAnsiTheme="minorHAnsi" w:cstheme="minorBidi"/>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技能大赛评分表（任务四）</w:t>
      </w:r>
    </w:p>
    <w:tbl>
      <w:tblPr>
        <w:tblStyle w:val="16"/>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45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60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szCs w:val="28"/>
              </w:rPr>
              <w:t>风光互补系统调度运营管理</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一、负载与逆变系统的安装与接线</w:t>
            </w:r>
          </w:p>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（4分）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eastAsia="仿宋_GB2312" w:hAnsiTheme="minorHAnsi" w:cstheme="minorBidi"/>
                <w:sz w:val="24"/>
                <w:szCs w:val="24"/>
              </w:rPr>
            </w:pPr>
            <w:r>
              <w:rPr>
                <w:rFonts w:hint="eastAsia" w:ascii="仿宋_GB2312" w:hAnsi="微软雅黑" w:eastAsia="仿宋_GB2312" w:cs="微软雅黑"/>
                <w:sz w:val="24"/>
                <w:szCs w:val="24"/>
              </w:rPr>
              <w:t>1．负载的接线与布线（4分）连接线错接 1 根扣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分；没有采用接插件或没有经端子排而直接接继电器，扣0.</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pStyle w:val="13"/>
              <w:numPr>
                <w:ilvl w:val="0"/>
                <w:numId w:val="7"/>
              </w:numPr>
              <w:ind w:firstLineChars="0"/>
              <w:rPr>
                <w:rFonts w:ascii="仿宋_GB2312" w:hAnsi="微软雅黑" w:eastAsia="仿宋_GB2312" w:cs="微软雅黑"/>
                <w:sz w:val="24"/>
                <w:szCs w:val="24"/>
              </w:rPr>
            </w:pPr>
            <w:r>
              <w:rPr>
                <w:rFonts w:hint="eastAsia" w:ascii="仿宋_GB2312" w:hAnsi="微软雅黑" w:eastAsia="仿宋_GB2312" w:cs="微软雅黑"/>
                <w:sz w:val="24"/>
                <w:szCs w:val="24"/>
              </w:rPr>
              <w:t>设计负载调试界面缺失或错误扣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分。报警灯负载、电机</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负载的调试按钮，每个负载不能按要求运行的，每处扣0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.1分</w:t>
            </w:r>
            <w:r>
              <w:rPr>
                <w:rFonts w:hint="eastAsia" w:ascii="仿宋_GB2312" w:hAnsi="微软雅黑" w:eastAsia="仿宋_GB2312" w:cs="微软雅黑"/>
                <w:sz w:val="24"/>
                <w:szCs w:val="24"/>
              </w:rPr>
              <w:t>；</w:t>
            </w:r>
            <w:r>
              <w:rPr>
                <w:rFonts w:ascii="仿宋_GB2312" w:hAnsi="微软雅黑" w:eastAsia="仿宋_GB2312" w:cs="微软雅黑"/>
                <w:sz w:val="24"/>
                <w:szCs w:val="24"/>
              </w:rPr>
              <w:t>变频器启动不能以工频运行的</w:t>
            </w:r>
            <w:r>
              <w:rPr>
                <w:rFonts w:hint="eastAsia" w:ascii="仿宋_GB2312" w:hAnsi="微软雅黑" w:eastAsia="仿宋_GB2312" w:cs="微软雅黑"/>
                <w:sz w:val="24"/>
                <w:szCs w:val="24"/>
              </w:rPr>
              <w:t>，</w:t>
            </w:r>
            <w:r>
              <w:rPr>
                <w:rFonts w:ascii="仿宋_GB2312" w:hAnsi="微软雅黑" w:eastAsia="仿宋_GB2312" w:cs="微软雅黑"/>
                <w:sz w:val="24"/>
                <w:szCs w:val="24"/>
              </w:rPr>
              <w:t>扣</w:t>
            </w:r>
            <w:r>
              <w:rPr>
                <w:rFonts w:hint="eastAsia" w:ascii="仿宋_GB2312" w:hAnsi="微软雅黑" w:eastAsia="仿宋_GB2312" w:cs="微软雅黑"/>
                <w:sz w:val="24"/>
                <w:szCs w:val="24"/>
              </w:rPr>
              <w:t>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ind w:right="-12"/>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三、多能源、多负载能源调度运营 </w:t>
            </w:r>
          </w:p>
          <w:p>
            <w:pPr>
              <w:spacing w:after="12"/>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分；两个旋钮没有都旋至自动，按下相应控件系统启动，各扣 1 分；在运行中没有按照多能源，多负载能源调度运营表，各扣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heme="minorBidi"/>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2" w:hRule="atLeast"/>
          <w:jc w:val="center"/>
        </w:trPr>
        <w:tc>
          <w:tcPr>
            <w:tcW w:w="1548" w:type="dxa"/>
            <w:vMerge w:val="continue"/>
            <w:tcBorders>
              <w:left w:val="single" w:color="000000" w:sz="4" w:space="0"/>
              <w:bottom w:val="single" w:color="000000" w:sz="4" w:space="0"/>
              <w:right w:val="single" w:color="000000" w:sz="4" w:space="0"/>
            </w:tcBorders>
            <w:vAlign w:val="center"/>
          </w:tcPr>
          <w:p>
            <w:pPr>
              <w:spacing w:line="269" w:lineRule="auto"/>
              <w:ind w:left="53" w:right="-12" w:firstLine="480"/>
              <w:rPr>
                <w:rFonts w:ascii="仿宋_GB2312" w:hAnsi="微软雅黑" w:eastAsia="仿宋_GB2312" w:cs="微软雅黑"/>
                <w:sz w:val="24"/>
                <w:szCs w:val="24"/>
              </w:rPr>
            </w:pPr>
          </w:p>
        </w:tc>
        <w:tc>
          <w:tcPr>
            <w:tcW w:w="6815" w:type="dxa"/>
            <w:gridSpan w:val="2"/>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szCs w:val="24"/>
              </w:rPr>
            </w:pP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p>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（7分）</w:t>
            </w: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5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rPr>
              <w:t>0.3</w:t>
            </w:r>
            <w:r>
              <w:rPr>
                <w:rFonts w:hint="eastAsia" w:ascii="仿宋_GB2312" w:hAnsi="微软雅黑" w:eastAsia="仿宋_GB2312" w:cs="微软雅黑"/>
                <w:sz w:val="24"/>
                <w:szCs w:val="24"/>
              </w:rPr>
              <w:t>分，缺少单位各扣0.2分；</w:t>
            </w:r>
            <w:r>
              <w:rPr>
                <w:rFonts w:hint="eastAsia" w:ascii="仿宋_GB2312" w:hAnsi="微软雅黑" w:eastAsia="仿宋_GB2312" w:cs="微软雅黑"/>
                <w:sz w:val="24"/>
              </w:rPr>
              <w:t>曲线没有充满80%以上的区域，各扣0.2分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815" w:type="dxa"/>
            <w:gridSpan w:val="2"/>
            <w:tcBorders>
              <w:top w:val="single" w:color="000000" w:sz="4" w:space="0"/>
              <w:left w:val="single" w:color="000000" w:sz="4" w:space="0"/>
              <w:bottom w:val="single" w:color="000000" w:sz="4" w:space="0"/>
              <w:right w:val="nil"/>
            </w:tcBorders>
            <w:vAlign w:val="center"/>
          </w:tcPr>
          <w:p>
            <w:pPr>
              <w:ind w:left="1594"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pStyle w:val="2"/>
        <w:ind w:left="0" w:firstLine="0"/>
        <w:rPr>
          <w:rFonts w:ascii="仿宋_GB2312" w:eastAsia="仿宋_GB2312"/>
          <w:sz w:val="28"/>
          <w:szCs w:val="28"/>
        </w:rPr>
      </w:pPr>
      <w:r>
        <w:rPr>
          <w:rFonts w:hint="eastAsia" w:ascii="仿宋_GB2312" w:eastAsia="仿宋_GB2312"/>
          <w:sz w:val="28"/>
          <w:szCs w:val="28"/>
        </w:rPr>
        <w:t>技能大赛评分表（任务五）</w:t>
      </w:r>
    </w:p>
    <w:tbl>
      <w:tblPr>
        <w:tblStyle w:val="8"/>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heme="minorBidi"/>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heme="minorBidi"/>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heme="minorBidi"/>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heme="minorBidi"/>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heme="minorBidi"/>
              </w:rPr>
            </w:pPr>
            <w:r>
              <w:rPr>
                <w:rFonts w:hint="eastAsia" w:ascii="仿宋_GB2312" w:eastAsia="仿宋_GB2312" w:cstheme="minorBidi"/>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heme="minorBidi"/>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cstheme="minorBidi"/>
              </w:rPr>
            </w:pPr>
            <w:r>
              <w:rPr>
                <w:rFonts w:hint="eastAsia" w:ascii="仿宋_GB2312" w:hAnsi="微软雅黑" w:eastAsia="仿宋_GB2312" w:cs="微软雅黑"/>
                <w:sz w:val="24"/>
              </w:rPr>
              <w:t xml:space="preserve">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heme="minorBidi"/>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heme="minorBidi"/>
                <w:sz w:val="24"/>
                <w:szCs w:val="24"/>
              </w:rPr>
            </w:pPr>
            <w:r>
              <w:rPr>
                <w:rFonts w:hint="eastAsia" w:ascii="仿宋" w:hAnsi="仿宋" w:eastAsia="仿宋" w:cs="微软雅黑"/>
                <w:sz w:val="24"/>
                <w:szCs w:val="24"/>
              </w:rPr>
              <w:t>2. 通讯参数设置（3分）光伏PLC、风力PLC、串口服务器、智能无线终端的IP地址不在同一个网段内或冲突的，每处扣0.5分。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p>
          <w:p>
            <w:pPr>
              <w:rPr>
                <w:rFonts w:ascii="仿宋" w:hAnsi="仿宋" w:eastAsia="仿宋" w:cstheme="minorBidi"/>
                <w:sz w:val="24"/>
                <w:szCs w:val="24"/>
              </w:rPr>
            </w:pP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76" w:hRule="atLeast"/>
          <w:jc w:val="center"/>
        </w:trPr>
        <w:tc>
          <w:tcPr>
            <w:tcW w:w="1553" w:type="dxa"/>
            <w:vMerge w:val="restart"/>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tc>
        <w:tc>
          <w:tcPr>
            <w:tcW w:w="1425" w:type="dxa"/>
            <w:vMerge w:val="restart"/>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775" w:hRule="atLeast"/>
          <w:jc w:val="center"/>
        </w:trPr>
        <w:tc>
          <w:tcPr>
            <w:tcW w:w="1553" w:type="dxa"/>
            <w:vMerge w:val="continue"/>
            <w:tcBorders>
              <w:left w:val="single" w:color="000000" w:sz="4" w:space="0"/>
              <w:bottom w:val="single" w:color="000000" w:sz="4" w:space="0"/>
              <w:right w:val="single" w:color="000000" w:sz="4" w:space="0"/>
            </w:tcBorders>
            <w:vAlign w:val="center"/>
          </w:tcPr>
          <w:p>
            <w:pPr>
              <w:spacing w:line="269" w:lineRule="auto"/>
              <w:rPr>
                <w:rFonts w:ascii="仿宋" w:hAnsi="仿宋" w:eastAsia="仿宋" w:cs="微软雅黑"/>
                <w:sz w:val="24"/>
                <w:szCs w:val="24"/>
              </w:rPr>
            </w:pP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5.组态应用设计与发布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vMerge w:val="continue"/>
            <w:tcBorders>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（4分）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6</w:t>
            </w:r>
            <w:r>
              <w:rPr>
                <w:rFonts w:hint="eastAsia" w:ascii="仿宋" w:hAnsi="仿宋" w:eastAsia="仿宋" w:cs="微软雅黑"/>
                <w:sz w:val="24"/>
                <w:szCs w:val="24"/>
              </w:rPr>
              <w:t>.</w:t>
            </w:r>
            <w:r>
              <w:rPr>
                <w:rFonts w:hint="eastAsia" w:ascii="仿宋" w:hAnsi="仿宋" w:eastAsia="仿宋"/>
                <w:sz w:val="24"/>
                <w:szCs w:val="24"/>
              </w:rPr>
              <w:t>能源信息化管理与运营（4分）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heme="minorBidi"/>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heme="minorBidi"/>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heme="minorBidi"/>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pStyle w:val="2"/>
        <w:ind w:left="0" w:right="2" w:firstLine="0"/>
        <w:rPr>
          <w:rFonts w:ascii="仿宋_GB2312" w:eastAsia="仿宋_GB2312"/>
        </w:rPr>
      </w:pPr>
      <w:r>
        <w:rPr>
          <w:rFonts w:hint="eastAsia" w:ascii="仿宋_GB2312" w:eastAsia="仿宋_GB2312"/>
          <w:sz w:val="28"/>
          <w:szCs w:val="28"/>
        </w:rPr>
        <w:t>技能大赛评分表（任务六）</w:t>
      </w:r>
    </w:p>
    <w:tbl>
      <w:tblPr>
        <w:tblStyle w:val="16"/>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64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1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eastAsia="仿宋_GB2312" w:hAnsiTheme="minorHAnsi" w:cstheme="minorBidi"/>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rPr>
                <w:rFonts w:ascii="仿宋_GB2312" w:eastAsia="仿宋_GB2312" w:hAnsiTheme="minorHAnsi" w:cstheme="minorBidi"/>
              </w:rPr>
            </w:pP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评分标准</w:t>
            </w:r>
          </w:p>
          <w:p>
            <w:pPr>
              <w:rPr>
                <w:rFonts w:ascii="仿宋_GB2312" w:eastAsia="仿宋_GB2312" w:hAnsiTheme="minorHAnsi" w:cstheme="minorBidi"/>
              </w:rPr>
            </w:pPr>
            <w:r>
              <w:rPr>
                <w:rFonts w:hint="eastAsia" w:ascii="仿宋_GB2312" w:hAnsi="微软雅黑" w:eastAsia="仿宋_GB2312" w:cs="微软雅黑"/>
                <w:sz w:val="24"/>
              </w:rPr>
              <w:t>一级指标</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（2分）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二、工程素养（3分）</w:t>
            </w:r>
          </w:p>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firstLine="480"/>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判（2分）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firstLine="480"/>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286" w:type="dxa"/>
            <w:gridSpan w:val="2"/>
            <w:tcBorders>
              <w:top w:val="single" w:color="000000" w:sz="4" w:space="0"/>
              <w:left w:val="single" w:color="000000" w:sz="4" w:space="0"/>
              <w:bottom w:val="single" w:color="000000" w:sz="4" w:space="0"/>
              <w:right w:val="nil"/>
            </w:tcBorders>
            <w:vAlign w:val="center"/>
          </w:tcPr>
          <w:p>
            <w:pPr>
              <w:ind w:left="1901"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sectPr>
      <w:footerReference r:id="rId5"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roma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3918335"/>
    </w:sdtPr>
    <w:sdtContent>
      <w:p>
        <w:pPr>
          <w:pStyle w:val="5"/>
          <w:jc w:val="center"/>
        </w:pPr>
        <w:r>
          <w:fldChar w:fldCharType="begin"/>
        </w:r>
        <w:r>
          <w:instrText xml:space="preserve">PAGE   \* MERGEFORMAT</w:instrText>
        </w:r>
        <w:r>
          <w:fldChar w:fldCharType="separate"/>
        </w:r>
        <w:r>
          <w:rPr>
            <w:lang w:val="zh-CN"/>
          </w:rPr>
          <w:t>30</w:t>
        </w:r>
        <w:r>
          <w:rPr>
            <w:lang w:val="zh-CN"/>
          </w:rPr>
          <w:fldChar w:fldCharType="end"/>
        </w:r>
      </w:p>
    </w:sdtContent>
  </w:sdt>
  <w:p>
    <w:pPr>
      <w:pStyle w:val="5"/>
      <w:ind w:firstLine="3600" w:firstLineChars="200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pPr>
    <w:r>
      <w:fldChar w:fldCharType="begin"/>
    </w:r>
    <w:r>
      <w:instrText xml:space="preserve"> PAGE  \* MERGEFORMAT </w:instrText>
    </w:r>
    <w:r>
      <w:fldChar w:fldCharType="separate"/>
    </w:r>
    <w:r>
      <w:t>31</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22EBFA15"/>
    <w:multiLevelType w:val="singleLevel"/>
    <w:tmpl w:val="22EBFA15"/>
    <w:lvl w:ilvl="0" w:tentative="0">
      <w:start w:val="1"/>
      <w:numFmt w:val="decimal"/>
      <w:suff w:val="nothing"/>
      <w:lvlText w:val="（%1）"/>
      <w:lvlJc w:val="left"/>
    </w:lvl>
  </w:abstractNum>
  <w:abstractNum w:abstractNumId="3">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7C02EA6"/>
    <w:multiLevelType w:val="multilevel"/>
    <w:tmpl w:val="57C02EA6"/>
    <w:lvl w:ilvl="0" w:tentative="0">
      <w:start w:val="1"/>
      <w:numFmt w:val="japaneseCounting"/>
      <w:lvlText w:val="%1、"/>
      <w:lvlJc w:val="left"/>
      <w:pPr>
        <w:ind w:left="1202" w:hanging="7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6">
    <w:nsid w:val="74FB018E"/>
    <w:multiLevelType w:val="multilevel"/>
    <w:tmpl w:val="74FB018E"/>
    <w:lvl w:ilvl="0" w:tentative="0">
      <w:start w:val="1"/>
      <w:numFmt w:val="decimalEnclosedCircle"/>
      <w:lvlText w:val="%1"/>
      <w:lvlJc w:val="left"/>
      <w:pPr>
        <w:ind w:left="842" w:hanging="36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5"/>
  </w:num>
  <w:num w:numId="2">
    <w:abstractNumId w:val="1"/>
  </w:num>
  <w:num w:numId="3">
    <w:abstractNumId w:val="6"/>
  </w:num>
  <w:num w:numId="4">
    <w:abstractNumId w:val="0"/>
  </w:num>
  <w:num w:numId="5">
    <w:abstractNumId w:val="2"/>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trackRevisions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097BD2"/>
    <w:rsid w:val="0012643F"/>
    <w:rsid w:val="001D1219"/>
    <w:rsid w:val="00246106"/>
    <w:rsid w:val="002D70C9"/>
    <w:rsid w:val="003074F8"/>
    <w:rsid w:val="00377799"/>
    <w:rsid w:val="00500941"/>
    <w:rsid w:val="005B1981"/>
    <w:rsid w:val="006648FE"/>
    <w:rsid w:val="00812CDA"/>
    <w:rsid w:val="008D3A57"/>
    <w:rsid w:val="009E6E34"/>
    <w:rsid w:val="009F4B5F"/>
    <w:rsid w:val="00A35E89"/>
    <w:rsid w:val="00A67ED3"/>
    <w:rsid w:val="00AE588F"/>
    <w:rsid w:val="00B42365"/>
    <w:rsid w:val="00B9751E"/>
    <w:rsid w:val="00C3465C"/>
    <w:rsid w:val="00CA3CF9"/>
    <w:rsid w:val="00CC6686"/>
    <w:rsid w:val="00D42E8D"/>
    <w:rsid w:val="00DC6AD5"/>
    <w:rsid w:val="00EC6C9E"/>
    <w:rsid w:val="00EE0091"/>
    <w:rsid w:val="00F02EEC"/>
    <w:rsid w:val="2547400B"/>
    <w:rsid w:val="27831125"/>
    <w:rsid w:val="36D251B7"/>
    <w:rsid w:val="3A5531DB"/>
    <w:rsid w:val="4429534E"/>
    <w:rsid w:val="48715B02"/>
    <w:rsid w:val="4C2F1596"/>
    <w:rsid w:val="7A873AD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character" w:default="1" w:styleId="10">
    <w:name w:val="Default Paragraph Font"/>
    <w:semiHidden/>
    <w:unhideWhenUsed/>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20"/>
    <w:qFormat/>
    <w:uiPriority w:val="0"/>
    <w:pPr>
      <w:jc w:val="left"/>
    </w:pPr>
  </w:style>
  <w:style w:type="paragraph" w:styleId="4">
    <w:name w:val="Balloon Text"/>
    <w:basedOn w:val="1"/>
    <w:link w:val="19"/>
    <w:uiPriority w:val="0"/>
    <w:rPr>
      <w:sz w:val="18"/>
      <w:szCs w:val="18"/>
    </w:rPr>
  </w:style>
  <w:style w:type="paragraph" w:styleId="5">
    <w:name w:val="footer"/>
    <w:basedOn w:val="1"/>
    <w:link w:val="18"/>
    <w:qFormat/>
    <w:uiPriority w:val="99"/>
    <w:pPr>
      <w:tabs>
        <w:tab w:val="center" w:pos="4153"/>
        <w:tab w:val="right" w:pos="8306"/>
      </w:tabs>
      <w:snapToGrid w:val="0"/>
      <w:jc w:val="left"/>
    </w:pPr>
    <w:rPr>
      <w:sz w:val="18"/>
      <w:szCs w:val="18"/>
    </w:rPr>
  </w:style>
  <w:style w:type="paragraph" w:styleId="6">
    <w:name w:val="header"/>
    <w:basedOn w:val="1"/>
    <w:link w:val="17"/>
    <w:qFormat/>
    <w:uiPriority w:val="0"/>
    <w:pPr>
      <w:pBdr>
        <w:bottom w:val="single" w:color="auto" w:sz="6" w:space="1"/>
      </w:pBdr>
      <w:tabs>
        <w:tab w:val="center" w:pos="4153"/>
        <w:tab w:val="right" w:pos="8306"/>
      </w:tabs>
      <w:snapToGrid w:val="0"/>
      <w:jc w:val="center"/>
    </w:pPr>
    <w:rPr>
      <w:sz w:val="18"/>
      <w:szCs w:val="18"/>
    </w:rPr>
  </w:style>
  <w:style w:type="paragraph" w:styleId="7">
    <w:name w:val="annotation subject"/>
    <w:basedOn w:val="3"/>
    <w:next w:val="3"/>
    <w:link w:val="21"/>
    <w:uiPriority w:val="0"/>
    <w:rPr>
      <w:b/>
      <w:bCs/>
    </w:rPr>
  </w:style>
  <w:style w:type="table" w:styleId="9">
    <w:name w:val="Table Grid"/>
    <w:basedOn w:val="8"/>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1">
    <w:name w:val="annotation reference"/>
    <w:basedOn w:val="10"/>
    <w:uiPriority w:val="0"/>
    <w:rPr>
      <w:sz w:val="21"/>
      <w:szCs w:val="21"/>
    </w:rPr>
  </w:style>
  <w:style w:type="paragraph" w:customStyle="1" w:styleId="12">
    <w:name w:val="_Style 25"/>
    <w:basedOn w:val="1"/>
    <w:next w:val="13"/>
    <w:qFormat/>
    <w:uiPriority w:val="34"/>
    <w:pPr>
      <w:ind w:firstLine="420" w:firstLineChars="200"/>
    </w:pPr>
  </w:style>
  <w:style w:type="paragraph" w:styleId="13">
    <w:name w:val="List Paragraph"/>
    <w:basedOn w:val="1"/>
    <w:qFormat/>
    <w:uiPriority w:val="99"/>
    <w:pPr>
      <w:ind w:firstLine="420" w:firstLineChars="200"/>
    </w:pPr>
  </w:style>
  <w:style w:type="paragraph" w:customStyle="1" w:styleId="14">
    <w:name w:val="列出段落11"/>
    <w:basedOn w:val="1"/>
    <w:qFormat/>
    <w:uiPriority w:val="0"/>
    <w:pPr>
      <w:ind w:firstLine="420" w:firstLineChars="200"/>
    </w:pPr>
  </w:style>
  <w:style w:type="paragraph" w:customStyle="1" w:styleId="15">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6">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17">
    <w:name w:val="页眉 Char"/>
    <w:basedOn w:val="10"/>
    <w:link w:val="6"/>
    <w:uiPriority w:val="0"/>
    <w:rPr>
      <w:rFonts w:cs="黑体"/>
      <w:kern w:val="2"/>
      <w:sz w:val="18"/>
      <w:szCs w:val="18"/>
    </w:rPr>
  </w:style>
  <w:style w:type="character" w:customStyle="1" w:styleId="18">
    <w:name w:val="页脚 Char"/>
    <w:basedOn w:val="10"/>
    <w:link w:val="5"/>
    <w:qFormat/>
    <w:locked/>
    <w:uiPriority w:val="99"/>
    <w:rPr>
      <w:rFonts w:cs="黑体"/>
      <w:kern w:val="2"/>
      <w:sz w:val="18"/>
      <w:szCs w:val="18"/>
    </w:rPr>
  </w:style>
  <w:style w:type="character" w:customStyle="1" w:styleId="19">
    <w:name w:val="批注框文本 Char"/>
    <w:basedOn w:val="10"/>
    <w:link w:val="4"/>
    <w:qFormat/>
    <w:uiPriority w:val="0"/>
    <w:rPr>
      <w:rFonts w:cs="黑体"/>
      <w:kern w:val="2"/>
      <w:sz w:val="18"/>
      <w:szCs w:val="18"/>
    </w:rPr>
  </w:style>
  <w:style w:type="character" w:customStyle="1" w:styleId="20">
    <w:name w:val="批注文字 Char"/>
    <w:basedOn w:val="10"/>
    <w:link w:val="3"/>
    <w:uiPriority w:val="0"/>
    <w:rPr>
      <w:rFonts w:cs="黑体"/>
      <w:kern w:val="2"/>
      <w:sz w:val="21"/>
      <w:szCs w:val="22"/>
    </w:rPr>
  </w:style>
  <w:style w:type="character" w:customStyle="1" w:styleId="21">
    <w:name w:val="批注主题 Char"/>
    <w:basedOn w:val="20"/>
    <w:link w:val="7"/>
    <w:qFormat/>
    <w:uiPriority w:val="0"/>
    <w:rPr>
      <w:rFonts w:cs="黑体"/>
      <w:b/>
      <w:bCs/>
      <w:kern w:val="2"/>
      <w:sz w:val="21"/>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4" Type="http://schemas.openxmlformats.org/officeDocument/2006/relationships/fontTable" Target="fontTable.xml"/><Relationship Id="rId43" Type="http://schemas.openxmlformats.org/officeDocument/2006/relationships/customXml" Target="../customXml/item2.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4.wmf"/><Relationship Id="rId4" Type="http://schemas.openxmlformats.org/officeDocument/2006/relationships/footer" Target="footer2.xml"/><Relationship Id="rId39" Type="http://schemas.openxmlformats.org/officeDocument/2006/relationships/oleObject" Target="embeddings/Microsoft_Visio_2003-2010___9.vsd"/><Relationship Id="rId38" Type="http://schemas.openxmlformats.org/officeDocument/2006/relationships/oleObject" Target="embeddings/Microsoft_Visio_2003-2010___8.vsd"/><Relationship Id="rId37" Type="http://schemas.openxmlformats.org/officeDocument/2006/relationships/image" Target="media/image23.wmf"/><Relationship Id="rId36" Type="http://schemas.openxmlformats.org/officeDocument/2006/relationships/oleObject" Target="embeddings/Microsoft_Visio_2003-2010___7.vsd"/><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Documents/Tencent%2525252525252525252525252525252525252525252525252520Files/123167135/Image/C2C/UTU7PTY7GJNI3PCP6_1_XWY.png"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emf"/><Relationship Id="rId26" Type="http://schemas.openxmlformats.org/officeDocument/2006/relationships/oleObject" Target="embeddings/Microsoft_Visio_2003-2010___6.vsd"/><Relationship Id="rId25" Type="http://schemas.openxmlformats.org/officeDocument/2006/relationships/image" Target="media/image14.emf"/><Relationship Id="rId24" Type="http://schemas.openxmlformats.org/officeDocument/2006/relationships/oleObject" Target="embeddings/Microsoft_Visio_2003-2010___5.vsd"/><Relationship Id="rId23" Type="http://schemas.openxmlformats.org/officeDocument/2006/relationships/image" Target="media/image13.emf"/><Relationship Id="rId22" Type="http://schemas.openxmlformats.org/officeDocument/2006/relationships/oleObject" Target="embeddings/Microsoft_Visio_2003-2010___4.vsd"/><Relationship Id="rId21" Type="http://schemas.openxmlformats.org/officeDocument/2006/relationships/image" Target="media/image12.emf"/><Relationship Id="rId20" Type="http://schemas.openxmlformats.org/officeDocument/2006/relationships/package" Target="embeddings/Microsoft_Visio___3.vsdx"/><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Microsoft_Visio_2003-2010___2.vsd"/><Relationship Id="rId17" Type="http://schemas.openxmlformats.org/officeDocument/2006/relationships/image" Target="media/image10.emf"/><Relationship Id="rId16" Type="http://schemas.openxmlformats.org/officeDocument/2006/relationships/oleObject" Target="embeddings/Microsoft_Visio_2003-2010___1.vsd"/><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e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37"/>
    <customShpInfo spid="_x0000_s1038"/>
    <customShpInfo spid="_x0000_s1040"/>
    <customShpInfo spid="_x0000_s1039"/>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361BBD8-0BAC-4AA5-92CF-7ACEA70D8E1B}">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41</Pages>
  <Words>4027</Words>
  <Characters>22956</Characters>
  <Lines>191</Lines>
  <Paragraphs>53</Paragraphs>
  <TotalTime>85</TotalTime>
  <ScaleCrop>false</ScaleCrop>
  <LinksUpToDate>false</LinksUpToDate>
  <CharactersWithSpaces>26930</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2021-12-03T14:33:34Z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ies>
</file>