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</w:t>
      </w:r>
    </w:p>
    <w:tbl>
      <w:tblPr>
        <w:tblStyle w:val="9"/>
        <w:tblW w:w="95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8"/>
        <w:gridCol w:w="3483"/>
        <w:gridCol w:w="2009"/>
        <w:gridCol w:w="1936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348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line="360" w:lineRule="exact"/>
              <w:jc w:val="left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赛区</w:t>
            </w:r>
          </w:p>
        </w:tc>
        <w:tc>
          <w:tcPr>
            <w:tcW w:w="8238" w:type="dxa"/>
            <w:gridSpan w:val="4"/>
          </w:tcPr>
          <w:p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348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line="360" w:lineRule="exact"/>
              <w:jc w:val="left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3483" w:type="dxa"/>
          </w:tcPr>
          <w:p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2009" w:type="dxa"/>
          </w:tcPr>
          <w:p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竞赛模块</w:t>
            </w:r>
          </w:p>
        </w:tc>
        <w:tc>
          <w:tcPr>
            <w:tcW w:w="2746" w:type="dxa"/>
            <w:gridSpan w:val="2"/>
          </w:tcPr>
          <w:p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工程部署与安装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348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line="360" w:lineRule="exact"/>
              <w:jc w:val="left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3483" w:type="dxa"/>
          </w:tcPr>
          <w:p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2009" w:type="dxa"/>
          </w:tcPr>
          <w:p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746" w:type="dxa"/>
            <w:gridSpan w:val="2"/>
          </w:tcPr>
          <w:p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348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pacing w:before="100" w:beforeAutospacing="1" w:line="360" w:lineRule="exact"/>
              <w:jc w:val="left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Arial"/>
                <w:b/>
                <w:color w:val="000000"/>
                <w:sz w:val="24"/>
                <w:szCs w:val="24"/>
              </w:rPr>
              <w:t>评分标准一级指标</w:t>
            </w:r>
          </w:p>
        </w:tc>
        <w:tc>
          <w:tcPr>
            <w:tcW w:w="7428" w:type="dxa"/>
            <w:gridSpan w:val="3"/>
          </w:tcPr>
          <w:p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Arial"/>
                <w:b/>
                <w:color w:val="000000"/>
                <w:sz w:val="24"/>
                <w:szCs w:val="24"/>
              </w:rPr>
              <w:t>评分标准二级指标</w:t>
            </w:r>
          </w:p>
        </w:tc>
        <w:tc>
          <w:tcPr>
            <w:tcW w:w="810" w:type="dxa"/>
          </w:tcPr>
          <w:p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配分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0" w:hRule="atLeast"/>
          <w:jc w:val="center"/>
        </w:trPr>
        <w:tc>
          <w:tcPr>
            <w:tcW w:w="1348" w:type="dxa"/>
            <w:vMerge w:val="restart"/>
            <w:vAlign w:val="center"/>
          </w:tcPr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一、器件安装及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线路连接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的正确性</w:t>
            </w:r>
          </w:p>
        </w:tc>
        <w:tc>
          <w:tcPr>
            <w:tcW w:w="7428" w:type="dxa"/>
            <w:gridSpan w:val="3"/>
          </w:tcPr>
          <w:p>
            <w:pPr>
              <w:spacing w:line="360" w:lineRule="exac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抽查PLC输出端口接线正确性：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操作方法：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</w:rPr>
              <w:t>P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LC输出端口及输出线号码管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Q2.1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Q2.2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Q2.3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Q2.4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Q2.5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分别与KA1、KA2、KA3、KA4、KA5下端的输入线号码管三者一一对应。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接线错误或未套号码管造成裁判不能检查的，每根扣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分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,累计扣分不超过5分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。</w:t>
            </w:r>
          </w:p>
        </w:tc>
        <w:tc>
          <w:tcPr>
            <w:tcW w:w="810" w:type="dxa"/>
            <w:vAlign w:val="center"/>
          </w:tcPr>
          <w:p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  <w:jc w:val="center"/>
        </w:trPr>
        <w:tc>
          <w:tcPr>
            <w:tcW w:w="1348" w:type="dxa"/>
            <w:vMerge w:val="continue"/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428" w:type="dxa"/>
            <w:gridSpan w:val="3"/>
          </w:tcPr>
          <w:p>
            <w:pPr>
              <w:spacing w:line="360" w:lineRule="exac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2.负载双线控制：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观察继电器KA3~KA5、KA7、KA9~KA11输入端（上端）采用2个端口接线。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每有一个负载未采用双线控制，扣1分，累计扣分不超过5分。</w:t>
            </w:r>
          </w:p>
        </w:tc>
        <w:tc>
          <w:tcPr>
            <w:tcW w:w="810" w:type="dxa"/>
            <w:vAlign w:val="center"/>
          </w:tcPr>
          <w:p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1348" w:type="dxa"/>
            <w:vMerge w:val="continue"/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428" w:type="dxa"/>
            <w:gridSpan w:val="3"/>
            <w:vAlign w:val="top"/>
          </w:tcPr>
          <w:p>
            <w:pPr>
              <w:spacing w:line="360" w:lineRule="exact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3.器件安装的正确性：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温湿度传感器、光照度传感器、其中一个LORA安装在光伏环境模拟平台。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全部正确得5分，否则不得分。</w:t>
            </w:r>
          </w:p>
        </w:tc>
        <w:tc>
          <w:tcPr>
            <w:tcW w:w="810" w:type="dxa"/>
            <w:vAlign w:val="center"/>
          </w:tcPr>
          <w:p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8" w:hRule="atLeast"/>
          <w:jc w:val="center"/>
        </w:trPr>
        <w:tc>
          <w:tcPr>
            <w:tcW w:w="1348" w:type="dxa"/>
            <w:vMerge w:val="continue"/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428" w:type="dxa"/>
            <w:gridSpan w:val="3"/>
          </w:tcPr>
          <w:p>
            <w:pPr>
              <w:spacing w:line="36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4.汇流箱接线的正确性：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走线如图所示。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336550</wp:posOffset>
                  </wp:positionV>
                  <wp:extent cx="3903980" cy="2207260"/>
                  <wp:effectExtent l="0" t="0" r="1270" b="2540"/>
                  <wp:wrapTopAndBottom/>
                  <wp:docPr id="1" name="图片 1" descr="a172a6c4e5880d5ba1c47d479fa00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a172a6c4e5880d5ba1c47d479fa006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3980" cy="220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全部正确得5分，否则不得分。</w:t>
            </w:r>
          </w:p>
        </w:tc>
        <w:tc>
          <w:tcPr>
            <w:tcW w:w="810" w:type="dxa"/>
            <w:vAlign w:val="center"/>
          </w:tcPr>
          <w:p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1348" w:type="dxa"/>
            <w:vMerge w:val="restart"/>
            <w:vAlign w:val="center"/>
          </w:tcPr>
          <w:p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安装及接线工艺检查</w:t>
            </w:r>
          </w:p>
        </w:tc>
        <w:tc>
          <w:tcPr>
            <w:tcW w:w="7428" w:type="dxa"/>
            <w:gridSpan w:val="3"/>
            <w:vAlign w:val="top"/>
          </w:tcPr>
          <w:p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5.波纹管的使用：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汇流箱输出至电气柜接线端子的线缆，使用波纹管进行固定。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符合得5分，不符合得0分。</w:t>
            </w:r>
          </w:p>
        </w:tc>
        <w:tc>
          <w:tcPr>
            <w:tcW w:w="810" w:type="dxa"/>
            <w:vAlign w:val="center"/>
          </w:tcPr>
          <w:p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4" w:hRule="atLeast"/>
          <w:jc w:val="center"/>
        </w:trPr>
        <w:tc>
          <w:tcPr>
            <w:tcW w:w="1348" w:type="dxa"/>
            <w:vMerge w:val="continue"/>
            <w:vAlign w:val="center"/>
          </w:tcPr>
          <w:p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428" w:type="dxa"/>
            <w:gridSpan w:val="3"/>
          </w:tcPr>
          <w:p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6.光伏电子中心管控平台及工程环境模拟平台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整体工艺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：按照现场情况的ABC三个档次，A为最高档，C为最低档，每档递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7.5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分，最低0分。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A档：导线长度适中、导线排列整齐拉直放入线槽、号码管套用排列整齐、同一器件上的冷压端子整齐统一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全部满足得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分；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B档：导线长度适中、导线排列整齐拉直放入线槽、号码管套用排列整齐、同一器件上的冷压端子整齐统一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有其中1~2项未满足，得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7.5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分；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C档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导线长度适中、导线排列整齐拉直放入线槽、号码管套用排列整齐、同一器件上的冷压端子整齐统一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有其中2项以上未满足，得0分。</w:t>
            </w:r>
          </w:p>
        </w:tc>
        <w:tc>
          <w:tcPr>
            <w:tcW w:w="810" w:type="dxa"/>
            <w:vAlign w:val="center"/>
          </w:tcPr>
          <w:p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8" w:type="dxa"/>
            <w:vMerge w:val="continue"/>
            <w:vAlign w:val="center"/>
          </w:tcPr>
          <w:p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428" w:type="dxa"/>
            <w:gridSpan w:val="3"/>
          </w:tcPr>
          <w:p>
            <w:pPr>
              <w:spacing w:line="360" w:lineRule="exact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7.导线的使用：要求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火线及直流正极使用红色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导线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、零线及直流负极使用黑色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导线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PLC的输入输出信号线使用白色导线；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光伏组件输出、汇流箱内部、汇流箱输出采用光伏专用线缆。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每发现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处不符合上述的要求，扣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分，累计扣分不超过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分。</w:t>
            </w:r>
          </w:p>
        </w:tc>
        <w:tc>
          <w:tcPr>
            <w:tcW w:w="810" w:type="dxa"/>
            <w:vAlign w:val="center"/>
          </w:tcPr>
          <w:p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8" w:type="dxa"/>
            <w:vMerge w:val="continue"/>
            <w:vAlign w:val="center"/>
          </w:tcPr>
          <w:p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428" w:type="dxa"/>
            <w:gridSpan w:val="3"/>
          </w:tcPr>
          <w:p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8.是否使用冷压端子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按照现场情况分ABC三个档次，A为最高档，C为最低档，每档递减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7.5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分，最低0分。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A档：所有接线均使用冷压端子进行连接，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得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分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；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B档：有1-10处以内未使用冷压端子，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得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7.5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分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；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C档：有10处以上未使用冷压端子，或所有接线均未使用接线端子，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得0分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。</w:t>
            </w:r>
          </w:p>
        </w:tc>
        <w:tc>
          <w:tcPr>
            <w:tcW w:w="810" w:type="dxa"/>
            <w:vAlign w:val="center"/>
          </w:tcPr>
          <w:p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8" w:type="dxa"/>
            <w:vMerge w:val="continue"/>
            <w:vAlign w:val="center"/>
          </w:tcPr>
          <w:p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428" w:type="dxa"/>
            <w:gridSpan w:val="3"/>
          </w:tcPr>
          <w:p>
            <w:pPr>
              <w:spacing w:line="360" w:lineRule="exac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9.冷压端子使用的正确性：要求</w:t>
            </w:r>
          </w:p>
          <w:p>
            <w:pPr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并线须使用并线端子；</w:t>
            </w:r>
          </w:p>
          <w:p>
            <w:pPr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光伏组件输出采用MC4接头。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每发现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处不符合上述的要求，扣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分，累计扣分不超过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分。</w:t>
            </w:r>
          </w:p>
        </w:tc>
        <w:tc>
          <w:tcPr>
            <w:tcW w:w="810" w:type="dxa"/>
            <w:vAlign w:val="center"/>
          </w:tcPr>
          <w:p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8" w:type="dxa"/>
            <w:vMerge w:val="continue"/>
            <w:vAlign w:val="center"/>
          </w:tcPr>
          <w:p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428" w:type="dxa"/>
            <w:gridSpan w:val="3"/>
          </w:tcPr>
          <w:p>
            <w:pPr>
              <w:spacing w:before="100" w:beforeAutospacing="1" w:line="36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接线可靠性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（包括金属材料外露（超过2mm））：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按照现场情况分ABC三个档次，A为最高档，C为最低档，每档递减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分，最低0分。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A档：所有接线端子均未露铜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且所有MC4端头压接牢固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得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分；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B档：有1-10处以内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出现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接线端子露铜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或MC4端头压接不牢固，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得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分；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C档：有10处以上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出现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接线端子露铜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或MC4端头压接牢固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得0分。</w:t>
            </w:r>
          </w:p>
        </w:tc>
        <w:tc>
          <w:tcPr>
            <w:tcW w:w="810" w:type="dxa"/>
            <w:vAlign w:val="center"/>
          </w:tcPr>
          <w:p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48" w:type="dxa"/>
            <w:vMerge w:val="continue"/>
            <w:vAlign w:val="center"/>
          </w:tcPr>
          <w:p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428" w:type="dxa"/>
            <w:gridSpan w:val="3"/>
          </w:tcPr>
          <w:p>
            <w:pPr>
              <w:spacing w:before="100" w:beforeAutospacing="1" w:line="36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11.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号码管套用：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按照现场情况分ABC三个档次，A为最高档，C为最低档，每档递减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7.5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分，最低0分。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A档：所有接线端子均使用号码管，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得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分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；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B档：有1-10处以内未使用号码管，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得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7.5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分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；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C档：有10处以上未使用号码管，或均未使用号码管，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得0分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。</w:t>
            </w:r>
          </w:p>
        </w:tc>
        <w:tc>
          <w:tcPr>
            <w:tcW w:w="810" w:type="dxa"/>
            <w:vAlign w:val="center"/>
          </w:tcPr>
          <w:p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348" w:type="dxa"/>
            <w:vMerge w:val="continue"/>
            <w:vAlign w:val="center"/>
          </w:tcPr>
          <w:p>
            <w:pPr>
              <w:spacing w:before="100" w:beforeAutospacing="1" w:line="36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428" w:type="dxa"/>
            <w:gridSpan w:val="3"/>
          </w:tcPr>
          <w:p>
            <w:pPr>
              <w:spacing w:line="360" w:lineRule="exact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12.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号码管标识：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号码管标识正面未朝外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发现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处扣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分，累计扣分不超过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分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。</w:t>
            </w:r>
          </w:p>
        </w:tc>
        <w:tc>
          <w:tcPr>
            <w:tcW w:w="810" w:type="dxa"/>
            <w:vAlign w:val="center"/>
          </w:tcPr>
          <w:p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348" w:type="dxa"/>
            <w:vMerge w:val="continue"/>
            <w:vAlign w:val="center"/>
          </w:tcPr>
          <w:p>
            <w:pPr>
              <w:spacing w:before="100" w:beforeAutospacing="1" w:line="36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428" w:type="dxa"/>
            <w:gridSpan w:val="3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13.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线槽盖的使用：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每条线槽都应盖好线槽盖，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每少一条扣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分，累计扣分不超过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分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810" w:type="dxa"/>
            <w:vAlign w:val="center"/>
          </w:tcPr>
          <w:p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</w:p>
        </w:tc>
      </w:tr>
    </w:tbl>
    <w:p>
      <w:pPr>
        <w:pStyle w:val="14"/>
        <w:ind w:left="0" w:leftChars="0" w:firstLine="0" w:firstLineChars="0"/>
        <w:rPr>
          <w:rFonts w:ascii="微软雅黑" w:hAnsi="微软雅黑" w:eastAsia="微软雅黑"/>
          <w:b/>
          <w:sz w:val="28"/>
          <w:szCs w:val="28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 w:cs="微软雅黑"/>
        <w:bCs/>
        <w:kern w:val="0"/>
        <w:sz w:val="30"/>
        <w:szCs w:val="30"/>
        <w:lang w:val="en-US" w:eastAsia="zh-CN"/>
      </w:rPr>
    </w:pPr>
    <w:r>
      <w:rPr>
        <w:rFonts w:hint="eastAsia" w:ascii="微软雅黑" w:hAnsi="微软雅黑" w:eastAsia="微软雅黑" w:cs="微软雅黑"/>
        <w:bCs/>
        <w:kern w:val="0"/>
        <w:sz w:val="30"/>
        <w:szCs w:val="30"/>
        <w:lang w:val="en-US" w:eastAsia="zh-CN"/>
      </w:rPr>
      <w:t>M-5A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D22529"/>
    <w:multiLevelType w:val="singleLevel"/>
    <w:tmpl w:val="80D2252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B415ED18"/>
    <w:multiLevelType w:val="singleLevel"/>
    <w:tmpl w:val="B415ED1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601"/>
    <w:rsid w:val="000039EB"/>
    <w:rsid w:val="000039FF"/>
    <w:rsid w:val="00011F49"/>
    <w:rsid w:val="00016734"/>
    <w:rsid w:val="000222DC"/>
    <w:rsid w:val="00043F56"/>
    <w:rsid w:val="000477E6"/>
    <w:rsid w:val="00066802"/>
    <w:rsid w:val="00080C99"/>
    <w:rsid w:val="00080EF9"/>
    <w:rsid w:val="00083BFF"/>
    <w:rsid w:val="00090572"/>
    <w:rsid w:val="00090F24"/>
    <w:rsid w:val="00093249"/>
    <w:rsid w:val="00095B69"/>
    <w:rsid w:val="000A757D"/>
    <w:rsid w:val="000A7E84"/>
    <w:rsid w:val="000B2038"/>
    <w:rsid w:val="000C1702"/>
    <w:rsid w:val="000D1344"/>
    <w:rsid w:val="000E2ECC"/>
    <w:rsid w:val="00101BAD"/>
    <w:rsid w:val="001045FA"/>
    <w:rsid w:val="0011732A"/>
    <w:rsid w:val="00123D01"/>
    <w:rsid w:val="001320EA"/>
    <w:rsid w:val="00173E73"/>
    <w:rsid w:val="0017671B"/>
    <w:rsid w:val="001A0840"/>
    <w:rsid w:val="001B037F"/>
    <w:rsid w:val="001B4EE9"/>
    <w:rsid w:val="001C325C"/>
    <w:rsid w:val="001E155C"/>
    <w:rsid w:val="001E255C"/>
    <w:rsid w:val="00215FDC"/>
    <w:rsid w:val="00222D12"/>
    <w:rsid w:val="00232493"/>
    <w:rsid w:val="0023466D"/>
    <w:rsid w:val="002432BD"/>
    <w:rsid w:val="00250FBE"/>
    <w:rsid w:val="0027639F"/>
    <w:rsid w:val="002957D8"/>
    <w:rsid w:val="00296231"/>
    <w:rsid w:val="002A2360"/>
    <w:rsid w:val="002E0325"/>
    <w:rsid w:val="002E06CF"/>
    <w:rsid w:val="00317567"/>
    <w:rsid w:val="003251AF"/>
    <w:rsid w:val="003520B6"/>
    <w:rsid w:val="00362D52"/>
    <w:rsid w:val="00391E38"/>
    <w:rsid w:val="003942DA"/>
    <w:rsid w:val="003A74F1"/>
    <w:rsid w:val="003C43F8"/>
    <w:rsid w:val="003D7316"/>
    <w:rsid w:val="003E3EEA"/>
    <w:rsid w:val="003F12EE"/>
    <w:rsid w:val="003F5B1F"/>
    <w:rsid w:val="00400861"/>
    <w:rsid w:val="004039FB"/>
    <w:rsid w:val="00427AEB"/>
    <w:rsid w:val="00441240"/>
    <w:rsid w:val="00444CBC"/>
    <w:rsid w:val="004543FA"/>
    <w:rsid w:val="0046752B"/>
    <w:rsid w:val="004752F6"/>
    <w:rsid w:val="0048456C"/>
    <w:rsid w:val="004859D2"/>
    <w:rsid w:val="004924C5"/>
    <w:rsid w:val="00492F43"/>
    <w:rsid w:val="004A3307"/>
    <w:rsid w:val="004A7988"/>
    <w:rsid w:val="004B7DCE"/>
    <w:rsid w:val="004C433E"/>
    <w:rsid w:val="004D42C5"/>
    <w:rsid w:val="004E59D7"/>
    <w:rsid w:val="004F1BC5"/>
    <w:rsid w:val="004F4768"/>
    <w:rsid w:val="00512285"/>
    <w:rsid w:val="0051618C"/>
    <w:rsid w:val="0052114C"/>
    <w:rsid w:val="00522DD8"/>
    <w:rsid w:val="005427C8"/>
    <w:rsid w:val="00574C69"/>
    <w:rsid w:val="0058440B"/>
    <w:rsid w:val="005A1357"/>
    <w:rsid w:val="005A4F66"/>
    <w:rsid w:val="005B0A10"/>
    <w:rsid w:val="005B1B7C"/>
    <w:rsid w:val="005B78DB"/>
    <w:rsid w:val="005C133E"/>
    <w:rsid w:val="005D5709"/>
    <w:rsid w:val="005E0CD7"/>
    <w:rsid w:val="005E1C6E"/>
    <w:rsid w:val="005F0F46"/>
    <w:rsid w:val="005F5DD2"/>
    <w:rsid w:val="0060624B"/>
    <w:rsid w:val="00613A65"/>
    <w:rsid w:val="006202A6"/>
    <w:rsid w:val="00627DE7"/>
    <w:rsid w:val="00634212"/>
    <w:rsid w:val="00635167"/>
    <w:rsid w:val="00641F42"/>
    <w:rsid w:val="00643908"/>
    <w:rsid w:val="00643E7E"/>
    <w:rsid w:val="00660C7B"/>
    <w:rsid w:val="006952E5"/>
    <w:rsid w:val="00697508"/>
    <w:rsid w:val="00697E4A"/>
    <w:rsid w:val="006A0DE6"/>
    <w:rsid w:val="006A1C5B"/>
    <w:rsid w:val="006B743B"/>
    <w:rsid w:val="006C0536"/>
    <w:rsid w:val="006C0995"/>
    <w:rsid w:val="006C395C"/>
    <w:rsid w:val="006C45AC"/>
    <w:rsid w:val="006D671F"/>
    <w:rsid w:val="006E103F"/>
    <w:rsid w:val="006E3FBB"/>
    <w:rsid w:val="00707B1B"/>
    <w:rsid w:val="007211E2"/>
    <w:rsid w:val="007230CC"/>
    <w:rsid w:val="00724777"/>
    <w:rsid w:val="00734833"/>
    <w:rsid w:val="00744059"/>
    <w:rsid w:val="00746F39"/>
    <w:rsid w:val="00747CC1"/>
    <w:rsid w:val="007650D9"/>
    <w:rsid w:val="0079534A"/>
    <w:rsid w:val="007A5B1F"/>
    <w:rsid w:val="007A652E"/>
    <w:rsid w:val="007A7D3F"/>
    <w:rsid w:val="007C77BB"/>
    <w:rsid w:val="007D02E1"/>
    <w:rsid w:val="007E2AC6"/>
    <w:rsid w:val="007E2E21"/>
    <w:rsid w:val="007E61F3"/>
    <w:rsid w:val="00811D35"/>
    <w:rsid w:val="0082503C"/>
    <w:rsid w:val="00830994"/>
    <w:rsid w:val="008321D3"/>
    <w:rsid w:val="00842B27"/>
    <w:rsid w:val="008520BD"/>
    <w:rsid w:val="008559AD"/>
    <w:rsid w:val="0086511B"/>
    <w:rsid w:val="008933F5"/>
    <w:rsid w:val="00893D7E"/>
    <w:rsid w:val="008B133E"/>
    <w:rsid w:val="008B6EBD"/>
    <w:rsid w:val="008C6BE2"/>
    <w:rsid w:val="008D552D"/>
    <w:rsid w:val="008F2390"/>
    <w:rsid w:val="009101B5"/>
    <w:rsid w:val="00915DF5"/>
    <w:rsid w:val="00917999"/>
    <w:rsid w:val="009238CA"/>
    <w:rsid w:val="00934C3C"/>
    <w:rsid w:val="00950653"/>
    <w:rsid w:val="00981861"/>
    <w:rsid w:val="00982BF5"/>
    <w:rsid w:val="009938A3"/>
    <w:rsid w:val="009A083D"/>
    <w:rsid w:val="009B3777"/>
    <w:rsid w:val="009B5D5C"/>
    <w:rsid w:val="009C46D9"/>
    <w:rsid w:val="009D28A4"/>
    <w:rsid w:val="009D3649"/>
    <w:rsid w:val="009F23F1"/>
    <w:rsid w:val="009F34C2"/>
    <w:rsid w:val="00A017F8"/>
    <w:rsid w:val="00A02157"/>
    <w:rsid w:val="00A10668"/>
    <w:rsid w:val="00A10A06"/>
    <w:rsid w:val="00A13DE3"/>
    <w:rsid w:val="00A15053"/>
    <w:rsid w:val="00A34DC0"/>
    <w:rsid w:val="00A36086"/>
    <w:rsid w:val="00A448B2"/>
    <w:rsid w:val="00A47C4F"/>
    <w:rsid w:val="00A50B66"/>
    <w:rsid w:val="00A618BC"/>
    <w:rsid w:val="00A62E2D"/>
    <w:rsid w:val="00A70BF2"/>
    <w:rsid w:val="00A94C2E"/>
    <w:rsid w:val="00A959B9"/>
    <w:rsid w:val="00AA13CF"/>
    <w:rsid w:val="00AB66B7"/>
    <w:rsid w:val="00AC6929"/>
    <w:rsid w:val="00AF50B2"/>
    <w:rsid w:val="00B001D6"/>
    <w:rsid w:val="00B01ECA"/>
    <w:rsid w:val="00B0304F"/>
    <w:rsid w:val="00B10DD1"/>
    <w:rsid w:val="00B14DCD"/>
    <w:rsid w:val="00B2111C"/>
    <w:rsid w:val="00B23276"/>
    <w:rsid w:val="00B2434E"/>
    <w:rsid w:val="00B26616"/>
    <w:rsid w:val="00B273E6"/>
    <w:rsid w:val="00B43748"/>
    <w:rsid w:val="00B50247"/>
    <w:rsid w:val="00B5168D"/>
    <w:rsid w:val="00B52FB6"/>
    <w:rsid w:val="00B60FDB"/>
    <w:rsid w:val="00B7346A"/>
    <w:rsid w:val="00B86D7B"/>
    <w:rsid w:val="00BA2F9F"/>
    <w:rsid w:val="00BA6305"/>
    <w:rsid w:val="00BA6651"/>
    <w:rsid w:val="00BB3EC9"/>
    <w:rsid w:val="00BC247F"/>
    <w:rsid w:val="00BF4C87"/>
    <w:rsid w:val="00C00250"/>
    <w:rsid w:val="00C0267C"/>
    <w:rsid w:val="00C03CF4"/>
    <w:rsid w:val="00C0697B"/>
    <w:rsid w:val="00C217D9"/>
    <w:rsid w:val="00C22F72"/>
    <w:rsid w:val="00C24733"/>
    <w:rsid w:val="00C37FF8"/>
    <w:rsid w:val="00C4112A"/>
    <w:rsid w:val="00C41E27"/>
    <w:rsid w:val="00C544A2"/>
    <w:rsid w:val="00C71B09"/>
    <w:rsid w:val="00C7527E"/>
    <w:rsid w:val="00C86F53"/>
    <w:rsid w:val="00CA150A"/>
    <w:rsid w:val="00CB3FE9"/>
    <w:rsid w:val="00CC61F8"/>
    <w:rsid w:val="00CC6D03"/>
    <w:rsid w:val="00CE342A"/>
    <w:rsid w:val="00CE43D8"/>
    <w:rsid w:val="00CF4072"/>
    <w:rsid w:val="00CF64F4"/>
    <w:rsid w:val="00D00704"/>
    <w:rsid w:val="00D139D0"/>
    <w:rsid w:val="00D1649A"/>
    <w:rsid w:val="00D3375D"/>
    <w:rsid w:val="00D403C5"/>
    <w:rsid w:val="00D433C4"/>
    <w:rsid w:val="00D46FAF"/>
    <w:rsid w:val="00D47CE9"/>
    <w:rsid w:val="00D524F3"/>
    <w:rsid w:val="00D607DA"/>
    <w:rsid w:val="00D70C71"/>
    <w:rsid w:val="00D83601"/>
    <w:rsid w:val="00D92BCF"/>
    <w:rsid w:val="00DA468A"/>
    <w:rsid w:val="00DB2052"/>
    <w:rsid w:val="00DB6D6B"/>
    <w:rsid w:val="00DC63FA"/>
    <w:rsid w:val="00DD1637"/>
    <w:rsid w:val="00DD1C37"/>
    <w:rsid w:val="00E0744C"/>
    <w:rsid w:val="00E20BC9"/>
    <w:rsid w:val="00E253CD"/>
    <w:rsid w:val="00E3125A"/>
    <w:rsid w:val="00E33BE4"/>
    <w:rsid w:val="00E441D8"/>
    <w:rsid w:val="00E50D02"/>
    <w:rsid w:val="00E64F12"/>
    <w:rsid w:val="00E74D6E"/>
    <w:rsid w:val="00E945CE"/>
    <w:rsid w:val="00EA4E4A"/>
    <w:rsid w:val="00EB3794"/>
    <w:rsid w:val="00EC284F"/>
    <w:rsid w:val="00EC77AB"/>
    <w:rsid w:val="00EE4A17"/>
    <w:rsid w:val="00F0293A"/>
    <w:rsid w:val="00F04176"/>
    <w:rsid w:val="00F14393"/>
    <w:rsid w:val="00F25BA9"/>
    <w:rsid w:val="00F26A53"/>
    <w:rsid w:val="00F365E7"/>
    <w:rsid w:val="00F367E8"/>
    <w:rsid w:val="00F369F0"/>
    <w:rsid w:val="00F36A0C"/>
    <w:rsid w:val="00F467B8"/>
    <w:rsid w:val="00F47DAB"/>
    <w:rsid w:val="00F50D2E"/>
    <w:rsid w:val="00F53576"/>
    <w:rsid w:val="00F634E7"/>
    <w:rsid w:val="00F72F81"/>
    <w:rsid w:val="00F80CD7"/>
    <w:rsid w:val="00F86F93"/>
    <w:rsid w:val="00F90B07"/>
    <w:rsid w:val="00F91E2D"/>
    <w:rsid w:val="00F934C1"/>
    <w:rsid w:val="00F96825"/>
    <w:rsid w:val="00FB3D42"/>
    <w:rsid w:val="00FC198E"/>
    <w:rsid w:val="00FC43F5"/>
    <w:rsid w:val="00FE18B4"/>
    <w:rsid w:val="00FE44B3"/>
    <w:rsid w:val="00FE4A73"/>
    <w:rsid w:val="017C4B1D"/>
    <w:rsid w:val="01AD4C2F"/>
    <w:rsid w:val="02E3112F"/>
    <w:rsid w:val="030A5FC4"/>
    <w:rsid w:val="03416AE9"/>
    <w:rsid w:val="0602694A"/>
    <w:rsid w:val="0641387D"/>
    <w:rsid w:val="077A4AF9"/>
    <w:rsid w:val="079917E8"/>
    <w:rsid w:val="07DD086C"/>
    <w:rsid w:val="07F76861"/>
    <w:rsid w:val="088A567E"/>
    <w:rsid w:val="0A68475A"/>
    <w:rsid w:val="0B420058"/>
    <w:rsid w:val="0BEC6454"/>
    <w:rsid w:val="0C264978"/>
    <w:rsid w:val="0CEA1828"/>
    <w:rsid w:val="0F731A37"/>
    <w:rsid w:val="151B005F"/>
    <w:rsid w:val="15E1763C"/>
    <w:rsid w:val="16497D9B"/>
    <w:rsid w:val="17040681"/>
    <w:rsid w:val="17AF35D3"/>
    <w:rsid w:val="17B127D4"/>
    <w:rsid w:val="1ABE744B"/>
    <w:rsid w:val="1E052413"/>
    <w:rsid w:val="1F9B68D9"/>
    <w:rsid w:val="20F76E3C"/>
    <w:rsid w:val="21051319"/>
    <w:rsid w:val="21074545"/>
    <w:rsid w:val="23160ACD"/>
    <w:rsid w:val="239F2BF7"/>
    <w:rsid w:val="25E249B2"/>
    <w:rsid w:val="274E325C"/>
    <w:rsid w:val="27BA3BD9"/>
    <w:rsid w:val="28A51853"/>
    <w:rsid w:val="28D313C9"/>
    <w:rsid w:val="2BC71F1D"/>
    <w:rsid w:val="2C8514E4"/>
    <w:rsid w:val="2E507CB3"/>
    <w:rsid w:val="2E640506"/>
    <w:rsid w:val="2F0A7024"/>
    <w:rsid w:val="2F612B14"/>
    <w:rsid w:val="2FC01577"/>
    <w:rsid w:val="2FD64167"/>
    <w:rsid w:val="30AE16CD"/>
    <w:rsid w:val="310E56CF"/>
    <w:rsid w:val="31C43571"/>
    <w:rsid w:val="34456DCA"/>
    <w:rsid w:val="345F50DB"/>
    <w:rsid w:val="348A712A"/>
    <w:rsid w:val="34A9357B"/>
    <w:rsid w:val="37A6715E"/>
    <w:rsid w:val="38F745EE"/>
    <w:rsid w:val="39264BA7"/>
    <w:rsid w:val="392F4576"/>
    <w:rsid w:val="3DEA73CE"/>
    <w:rsid w:val="3E405E49"/>
    <w:rsid w:val="3FEE38C1"/>
    <w:rsid w:val="40061886"/>
    <w:rsid w:val="44307118"/>
    <w:rsid w:val="45D73243"/>
    <w:rsid w:val="46405B86"/>
    <w:rsid w:val="48DB0308"/>
    <w:rsid w:val="49B31CBF"/>
    <w:rsid w:val="4B5D2284"/>
    <w:rsid w:val="4B8B3501"/>
    <w:rsid w:val="4BAE2C59"/>
    <w:rsid w:val="4C83689A"/>
    <w:rsid w:val="4D8C0BA5"/>
    <w:rsid w:val="4E37065D"/>
    <w:rsid w:val="4F7A1C06"/>
    <w:rsid w:val="50967A07"/>
    <w:rsid w:val="51664E68"/>
    <w:rsid w:val="51C75F06"/>
    <w:rsid w:val="51E53C6D"/>
    <w:rsid w:val="51E67A9C"/>
    <w:rsid w:val="53C94489"/>
    <w:rsid w:val="546372D5"/>
    <w:rsid w:val="5697726B"/>
    <w:rsid w:val="58873470"/>
    <w:rsid w:val="5999781C"/>
    <w:rsid w:val="5AE720CA"/>
    <w:rsid w:val="5B4C143C"/>
    <w:rsid w:val="5D147C1F"/>
    <w:rsid w:val="5E344D90"/>
    <w:rsid w:val="603375E6"/>
    <w:rsid w:val="609B51CC"/>
    <w:rsid w:val="60C219D8"/>
    <w:rsid w:val="6193131C"/>
    <w:rsid w:val="634609C2"/>
    <w:rsid w:val="635D5C23"/>
    <w:rsid w:val="63BF2062"/>
    <w:rsid w:val="65490F4F"/>
    <w:rsid w:val="6585479B"/>
    <w:rsid w:val="669E3F59"/>
    <w:rsid w:val="66BC511E"/>
    <w:rsid w:val="67AB0E5B"/>
    <w:rsid w:val="69A02C3D"/>
    <w:rsid w:val="69F05381"/>
    <w:rsid w:val="6A502EDD"/>
    <w:rsid w:val="6A550904"/>
    <w:rsid w:val="6AE1411C"/>
    <w:rsid w:val="6B175EA5"/>
    <w:rsid w:val="6B394BF7"/>
    <w:rsid w:val="6BF64376"/>
    <w:rsid w:val="6CD05E23"/>
    <w:rsid w:val="6DE72174"/>
    <w:rsid w:val="6F6D6372"/>
    <w:rsid w:val="70216ED9"/>
    <w:rsid w:val="71C546ED"/>
    <w:rsid w:val="71FA59A3"/>
    <w:rsid w:val="72422E0A"/>
    <w:rsid w:val="72A32B92"/>
    <w:rsid w:val="730505CF"/>
    <w:rsid w:val="736D04FE"/>
    <w:rsid w:val="74275217"/>
    <w:rsid w:val="7450293C"/>
    <w:rsid w:val="74C14508"/>
    <w:rsid w:val="756453A2"/>
    <w:rsid w:val="75BC335D"/>
    <w:rsid w:val="7CFB1323"/>
    <w:rsid w:val="7D6915C2"/>
    <w:rsid w:val="7EE477F3"/>
    <w:rsid w:val="7FB8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unhideWhenUsed/>
    <w:qFormat/>
    <w:uiPriority w:val="99"/>
    <w:pPr>
      <w:jc w:val="left"/>
    </w:pPr>
  </w:style>
  <w:style w:type="paragraph" w:styleId="4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annotation subject"/>
    <w:basedOn w:val="3"/>
    <w:next w:val="3"/>
    <w:link w:val="16"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5"/>
    <w:qFormat/>
    <w:uiPriority w:val="99"/>
    <w:rPr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character" w:customStyle="1" w:styleId="15">
    <w:name w:val="批注文字 字符"/>
    <w:basedOn w:val="10"/>
    <w:link w:val="3"/>
    <w:semiHidden/>
    <w:qFormat/>
    <w:uiPriority w:val="99"/>
    <w:rPr>
      <w:rFonts w:ascii="Calibri" w:hAnsi="Calibri" w:eastAsia="宋体" w:cs="Times New Roman"/>
    </w:rPr>
  </w:style>
  <w:style w:type="character" w:customStyle="1" w:styleId="16">
    <w:name w:val="批注主题 字符"/>
    <w:basedOn w:val="15"/>
    <w:link w:val="7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17">
    <w:name w:val="批注框文本 字符"/>
    <w:basedOn w:val="10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6F1D7C-2B69-D74D-9032-7539D72F1D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198</Words>
  <Characters>1131</Characters>
  <Lines>9</Lines>
  <Paragraphs>2</Paragraphs>
  <TotalTime>10</TotalTime>
  <ScaleCrop>false</ScaleCrop>
  <LinksUpToDate>false</LinksUpToDate>
  <CharactersWithSpaces>1327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2017-05-24T13:04:00Z</dcterms:created>
  <dc:creator>雨幕林峰</dc:creator>
  <cp:lastModifiedBy>Administrator</cp:lastModifiedBy>
  <dcterms:modified xsi:type="dcterms:W3CDTF">2021-12-02T06:16:50Z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559647E95E9D48AAABAA25CB57A508FF</vt:lpwstr>
  </property>
</Properties>
</file>