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06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1060" w:right="0" w:hanging="283"/>
        <w:jc w:val="left"/>
        <w:textAlignment w:val="auto"/>
        <w:rPr>
          <w:sz w:val="28"/>
        </w:rPr>
      </w:pPr>
      <w:r>
        <w:rPr>
          <w:spacing w:val="-2"/>
          <w:sz w:val="28"/>
        </w:rPr>
        <w:t>中药炮制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auto"/>
        <w:ind w:left="215" w:right="166" w:rightChars="0" w:firstLine="504" w:firstLineChars="200"/>
        <w:textAlignment w:val="auto"/>
      </w:pPr>
      <w:r>
        <w:rPr>
          <w:rFonts w:hint="eastAsia"/>
          <w:spacing w:val="-14"/>
        </w:rPr>
        <w:t>比赛按组进行，每组 8</w:t>
      </w:r>
      <w:r>
        <w:rPr>
          <w:rFonts w:hint="eastAsia"/>
          <w:spacing w:val="-14"/>
          <w:lang w:val="en-US" w:eastAsia="zh-CN"/>
        </w:rPr>
        <w:t xml:space="preserve"> </w:t>
      </w:r>
      <w:r>
        <w:rPr>
          <w:rFonts w:hint="eastAsia"/>
          <w:spacing w:val="-14"/>
        </w:rPr>
        <w:t>名选手抽签确定竞赛工位，在规定时间内完成中药炮制操作。由 2 位裁判同时监考 2 位选手，并对其操作过程逐项评分，取其平均值（保留小数点后两位数）作为参赛选手操作得分（满分 50 分）；赛场的所有 8 位裁判共同对所有选手炮制的成品质量进行比较评分，去掉一个最高分，去掉一个最低分，取其平均值（保留小数点后两位数）作为参赛选手炮制程度得分（满分 50 分）。操作得分与炮制程度得分相加即为参赛选手的总分（保留小数点后两位数）。计时员记录对应选手的操作时间。</w:t>
      </w:r>
      <w:r>
        <w:t>评分标准</w:t>
      </w:r>
      <w:r>
        <w:rPr>
          <w:rFonts w:hint="eastAsia"/>
          <w:lang w:eastAsia="zh-CN"/>
        </w:rPr>
        <w:t>，</w:t>
      </w:r>
      <w:r>
        <w:t>见表 1。</w:t>
      </w:r>
    </w:p>
    <w:p>
      <w:pPr>
        <w:tabs>
          <w:tab w:val="left" w:pos="782"/>
        </w:tabs>
        <w:spacing w:before="240"/>
        <w:ind w:left="0" w:right="1125" w:firstLine="0"/>
        <w:jc w:val="center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pacing w:val="-6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z w:val="24"/>
        </w:rPr>
        <w:tab/>
      </w:r>
      <w:r>
        <w:rPr>
          <w:b/>
          <w:sz w:val="24"/>
        </w:rPr>
        <w:t>中药炮制比赛评分标准</w:t>
      </w:r>
    </w:p>
    <w:p>
      <w:pPr>
        <w:tabs>
          <w:tab w:val="left" w:pos="1979"/>
          <w:tab w:val="left" w:pos="4019"/>
          <w:tab w:val="left" w:pos="6299"/>
          <w:tab w:val="left" w:pos="8370"/>
        </w:tabs>
        <w:spacing w:before="45" w:after="2"/>
        <w:ind w:left="0" w:right="1078" w:firstLine="0"/>
        <w:jc w:val="center"/>
        <w:rPr>
          <w:rFonts w:ascii="Times New Roman" w:eastAsia="Times New Roman"/>
          <w:sz w:val="24"/>
        </w:rPr>
      </w:pPr>
      <w:r>
        <w:rPr>
          <w:sz w:val="24"/>
        </w:rPr>
        <w:t>工位号：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组别号：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竞赛用时：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"/>
          <w:sz w:val="24"/>
        </w:rPr>
        <w:t>成</w:t>
      </w:r>
      <w:r>
        <w:rPr>
          <w:sz w:val="24"/>
        </w:rPr>
        <w:t>绩：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p>
      <w:pPr>
        <w:spacing w:after="0"/>
        <w:rPr>
          <w:rFonts w:ascii="Times New Roman"/>
          <w:sz w:val="24"/>
        </w:rPr>
      </w:pPr>
    </w:p>
    <w:tbl>
      <w:tblPr>
        <w:tblStyle w:val="3"/>
        <w:tblW w:w="8402" w:type="dxa"/>
        <w:tblInd w:w="-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5539"/>
        <w:gridCol w:w="793"/>
        <w:gridCol w:w="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bidi="ar-SA"/>
              </w:rPr>
              <w:t>项目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bidi="ar-SA"/>
              </w:rPr>
              <w:t>评分标准细则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（炮制操作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0分，成品质量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0分）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bidi="ar-SA"/>
              </w:rPr>
              <w:t>扣分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bidi="ar-SA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器具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准备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分）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器具准备齐全、洁净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；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摆放合理。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①器具要洁净，炒前未清洁所用器具，扣1分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②器具要一次准备齐全，操作过程中，每再准备一种器具，扣 0.5分；③器具摆放不合理或摆放杂乱，扣1分。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辅料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准备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分）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辅料处理符合炮制要求。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河砂粒径过大或过小，影响炒制质量，扣1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；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蜜炙麸皮方法不正确，或不符合要求，扣2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；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辅料处理不合理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辅料配制不合理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扣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④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辅料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散落到台面上未拣回，扣1分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⑤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辅料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散落到地面上，视量多少扣1～2 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。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净制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（5分）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净制操作规范，饮片净度符合《中国药典》2020年版及《中药饮片质量标准通则（试行）》之规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定。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①未净制</w:t>
            </w:r>
            <w:r>
              <w:rPr>
                <w:rFonts w:hint="eastAsia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或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有明显杂质，扣3分</w:t>
            </w:r>
            <w:r>
              <w:rPr>
                <w:rFonts w:hint="eastAsia" w:cs="仿宋_GB2312"/>
                <w:color w:val="auto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称量后</w:t>
            </w:r>
            <w:r>
              <w:rPr>
                <w:rFonts w:hint="eastAsia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再净制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，扣</w:t>
            </w:r>
            <w:r>
              <w:rPr>
                <w:rFonts w:hint="eastAsia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分；②</w:t>
            </w:r>
            <w:r>
              <w:rPr>
                <w:rFonts w:hint="eastAsia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未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进行大小分档，扣</w:t>
            </w:r>
            <w:r>
              <w:rPr>
                <w:rFonts w:hint="eastAsia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③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饮片散落到台面上未拣回，扣1分；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④饮片散落到地面上，视量多少扣1～2 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instrText xml:space="preserve"> = 5 \* GB3 \* MERGEFORMAT </w:instrTex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</w:rPr>
              <w:t>⑤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fldChar w:fldCharType="end"/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净制操作不规范，扣1分；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⑥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t>净制使用器具明显不合理，扣1分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。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称量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（3分）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bidi="ar-SA"/>
              </w:rPr>
              <w:t>待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炮制品及辅料称取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要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规范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。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①称量前不归零，扣1分；②称量后称盘不放回原位置，或操作完毕后不关电源，扣0.5分；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仿宋_GB2312" w:cs="仿宋_GB2312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③称量的质量差异超过±5%，扣1分；±5%～10%，扣</w:t>
            </w:r>
            <w:r>
              <w:rPr>
                <w:rFonts w:hint="default" w:cs="仿宋_GB2312"/>
                <w:color w:val="auto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分；超过±10%</w:t>
            </w:r>
            <w:r>
              <w:rPr>
                <w:rFonts w:hint="eastAsia"/>
                <w:color w:val="auto"/>
                <w:kern w:val="2"/>
                <w:sz w:val="24"/>
                <w:szCs w:val="24"/>
                <w:lang w:val="en-US" w:bidi="ar-SA"/>
              </w:rPr>
              <w:t>，</w:t>
            </w:r>
            <w:r>
              <w:rPr>
                <w:color w:val="auto"/>
              </w:rPr>
              <w:t xml:space="preserve">扣 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color w:val="auto"/>
              </w:rPr>
              <w:t xml:space="preserve"> 分。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拌润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分）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拌润手法娴熟，操作规范。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①未拌润，扣5分；②拌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制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后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不均匀，扣1分；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③拌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制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后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未润，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扣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分；④操作时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饮片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辅料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散落，视量多少扣1～2分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instrText xml:space="preserve"> = 5 \* GB3 \* MERGEFORMAT </w:instrTex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</w:rPr>
              <w:t>⑤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炙法润后辅料剩余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多，扣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分。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预热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分）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火力控制适宜，投药时间恰当。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①不预热，或违反操作规程造成事故，扣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hint="eastAsia" w:ascii="宋体" w:hAnsi="宋体" w:eastAsia="仿宋_GB2312" w:cs="仿宋_GB2312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②中途熄火，扣1分；③投药前，未用合适的判断方法预测锅温，扣1分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。</w:t>
            </w:r>
            <w:bookmarkStart w:id="0" w:name="_GoBack"/>
            <w:bookmarkEnd w:id="0"/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投药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分）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生饮片及辅料投放操作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要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规范。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①投药前，火力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选用不当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，扣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分；②投药操作严重失误，扣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5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分；③投药操作过慢，扣1分；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④麸炒时，撒麸不均匀，扣1分；锅温未达到麸下烟起，扣2分；蛤粉未预热到合适程度，扣2分；砂炒时，河砂用量过少，扣2分；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⑤投药时，饮片散落到台面上未拣回，扣1分；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⑥投药时，散落到地面上，视量多少扣1～2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。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翻炒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37" w:rightChars="17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分）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翻炒动作娴熟，操作规范。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①操作严重失误，扣10分；②中途熄火，扣1分；③翻炒明显不熟练、不均匀，扣3～5分；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④翻炒时，饮片散落到台面上未拣回，扣1分；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⑤翻炒时，饮片散落到地面，视量多少扣1～2分；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⑥</w:t>
            </w:r>
            <w:r>
              <w:rPr>
                <w:rFonts w:hint="eastAsia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炒炭时出现火星未及时喷灭，扣3分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。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出锅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分）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出锅及时，药屑及辅料处理规范；炮制品存放得当。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kern w:val="2"/>
                <w:sz w:val="24"/>
                <w:szCs w:val="24"/>
                <w:lang w:val="en-US" w:bidi="ar-SA"/>
              </w:rPr>
              <w:t>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操作严重失误，故意除去不合格饮片，扣5分；②未先熄火就出锅，扣1分；③出锅太慢，扣1分；④未除辅料，扣3分，辅料未除尽，扣1分；⑤淬法操作不规范，扣1分；⑥出锅后，未及时摊开晾凉，扣1分；⑦炊帚等易燃物品放在铁锅内，扣1分；⑧出锅时，饮片散落到台面上未拣回，扣1分；⑨出锅时，饮片散落到地面上，视量多少扣1～2</w:t>
            </w:r>
            <w:r>
              <w:rPr>
                <w:rFonts w:hint="eastAsia"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  <w:t>分。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清场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分）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按规程清洁器具，清理现场；饮片和器具归类放置。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①操作严重失误，扣5分；②器具未清洁，扣1分，清洁不彻底，扣0.5分；③器具未放回原始位置或摆放杂乱，扣1分；④操作台面不整洁，扣1分；地面未清洁，扣1分；⑤未关闭煤气罐阀门，扣1分。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成品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质量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（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50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分）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炮制后饮片质量应符合《中国药典》2020年版及《中药饮片质量标准通则（试行）》之规定。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适中率95%以上，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0分；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适中率80%～95%，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0分；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适中率70%～80%，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0分；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适中率60%～70%，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0分；</w:t>
            </w:r>
          </w:p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适中率50%以下（不及或太过），不超过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15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分。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2"/>
                <w:sz w:val="24"/>
                <w:lang w:val="en-US" w:bidi="ar-SA"/>
              </w:rPr>
              <w:t>合计</w:t>
            </w:r>
          </w:p>
        </w:tc>
        <w:tc>
          <w:tcPr>
            <w:tcW w:w="5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 w:val="0"/>
              <w:snapToGrid w:val="0"/>
              <w:spacing w:before="0" w:after="0" w:line="240" w:lineRule="auto"/>
              <w:ind w:left="0" w:right="0"/>
              <w:jc w:val="left"/>
              <w:rPr>
                <w:rFonts w:ascii="宋体" w:hAnsi="宋体" w:eastAsia="宋体" w:cs="仿宋_GB2312"/>
                <w:bCs/>
                <w:color w:val="auto"/>
                <w:kern w:val="2"/>
                <w:sz w:val="24"/>
                <w:szCs w:val="24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autoSpaceDE w:val="0"/>
              <w:autoSpaceDN w:val="0"/>
              <w:spacing w:before="32"/>
              <w:ind w:left="108" w:right="-15"/>
              <w:jc w:val="left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2"/>
                <w:lang w:val="zh-CN" w:eastAsia="zh-CN" w:bidi="zh-CN"/>
              </w:rPr>
            </w:pPr>
            <w:r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2"/>
                <w:lang w:val="zh-CN" w:eastAsia="zh-CN" w:bidi="zh-CN"/>
              </w:rPr>
              <w:t>备注：</w:t>
            </w:r>
          </w:p>
          <w:p>
            <w:pPr>
              <w:widowControl w:val="0"/>
              <w:autoSpaceDE w:val="0"/>
              <w:autoSpaceDN w:val="0"/>
              <w:spacing w:before="32"/>
              <w:ind w:left="108" w:right="-15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2"/>
                <w:lang w:val="zh-CN" w:eastAsia="zh-CN" w:bidi="zh-CN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2"/>
                <w:lang w:val="zh-CN" w:eastAsia="zh-CN" w:bidi="zh-CN"/>
              </w:rPr>
              <w:t>1.</w:t>
            </w:r>
            <w:r>
              <w:rPr>
                <w:rFonts w:ascii="仿宋_GB2312" w:hAnsi="仿宋_GB2312" w:eastAsia="仿宋_GB2312" w:cs="仿宋_GB2312"/>
                <w:color w:val="auto"/>
                <w:spacing w:val="-1"/>
                <w:kern w:val="0"/>
                <w:sz w:val="24"/>
                <w:szCs w:val="22"/>
                <w:lang w:val="zh-CN" w:eastAsia="zh-CN" w:bidi="zh-CN"/>
              </w:rPr>
              <w:t>选用辅料错误或操作程序错误，即为方法错误，只计准备和清场分数，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2"/>
                <w:lang w:val="zh-CN" w:eastAsia="zh-CN" w:bidi="zh-CN"/>
              </w:rPr>
              <w:t>成品质量计 0 分。</w:t>
            </w:r>
          </w:p>
          <w:p>
            <w:pPr>
              <w:widowControl w:val="0"/>
              <w:autoSpaceDE w:val="0"/>
              <w:autoSpaceDN w:val="0"/>
              <w:spacing w:before="32"/>
              <w:ind w:left="108" w:right="-15"/>
              <w:jc w:val="left"/>
              <w:rPr>
                <w:rFonts w:ascii="宋体" w:hAnsi="宋体" w:eastAsia="仿宋_GB2312" w:cs="仿宋_GB2312"/>
                <w:bCs/>
                <w:color w:val="auto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2"/>
                <w:lang w:val="zh-CN" w:eastAsia="zh-CN" w:bidi="zh-CN"/>
              </w:rPr>
              <w:t>2.操作环节按评分细则扣分，总扣分最多</w:t>
            </w:r>
            <w:r>
              <w:rPr>
                <w:rFonts w:hint="eastAsia" w:cs="仿宋_GB2312"/>
                <w:color w:val="auto"/>
                <w:kern w:val="0"/>
                <w:sz w:val="24"/>
                <w:szCs w:val="22"/>
                <w:lang w:val="en-US" w:eastAsia="zh-CN" w:bidi="zh-CN"/>
              </w:rPr>
              <w:t xml:space="preserve"> 50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2"/>
                <w:lang w:val="zh-CN" w:eastAsia="zh-CN" w:bidi="zh-CN"/>
              </w:rPr>
              <w:t>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ind w:left="1059" w:hanging="284"/>
        <w:jc w:val="left"/>
      </w:pPr>
      <w:rPr>
        <w:rFonts w:hint="default" w:ascii="仿宋_GB2312" w:hAnsi="仿宋_GB2312" w:eastAsia="仿宋_GB2312" w:cs="仿宋_GB2312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42" w:hanging="28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25" w:hanging="28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07" w:hanging="28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90" w:hanging="28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28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5" w:hanging="28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38" w:hanging="28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20" w:hanging="284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386DD4"/>
    <w:rsid w:val="5A35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17"/>
    </w:pPr>
    <w:rPr>
      <w:rFonts w:ascii="仿宋_GB2312" w:hAnsi="仿宋_GB2312" w:eastAsia="仿宋_GB2312" w:cs="仿宋_GB2312"/>
      <w:sz w:val="28"/>
      <w:szCs w:val="28"/>
      <w:lang w:val="zh-CN" w:eastAsia="zh-CN" w:bidi="zh-CN"/>
    </w:rPr>
  </w:style>
  <w:style w:type="paragraph" w:styleId="5">
    <w:name w:val="List Paragraph"/>
    <w:basedOn w:val="1"/>
    <w:qFormat/>
    <w:uiPriority w:val="1"/>
    <w:pPr>
      <w:ind w:left="217" w:firstLine="559"/>
    </w:pPr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2021-12-03T02:56:00Z</dcterms:created>
  <dc:creator>qcy716</dc:creator>
  <cp:lastModifiedBy>qcy716</cp:lastModifiedBy>
  <dcterms:modified xsi:type="dcterms:W3CDTF">2021-12-03T15:43:47Z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AFA9DDF410B84F12AB51FE852205E2C4</vt:lpwstr>
  </property>
</Properties>
</file>