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b/>
          <w:bCs/>
          <w:sz w:val="32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24"/>
        </w:rPr>
        <w:t>仓库布局设计与设备仿真搭建</w:t>
      </w:r>
      <w:r>
        <w:rPr>
          <w:rFonts w:hint="eastAsia" w:ascii="宋体" w:hAnsi="宋体" w:eastAsia="宋体"/>
          <w:b/>
          <w:bCs/>
          <w:sz w:val="32"/>
          <w:szCs w:val="24"/>
          <w:lang w:val="en-US" w:eastAsia="zh-CN"/>
        </w:rPr>
        <w:t>5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某连锁贸易公司计划在A市建设一个R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，用于辐射周边地区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个F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（日配）和5公里以内的终端客户需求的配送（一日两配），向F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约定每个S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的订货量以“托”为单位，终端客户可以S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为单位订货。公司租赁了一个3</w:t>
      </w:r>
      <w:r>
        <w:rPr>
          <w:rFonts w:ascii="宋体" w:hAnsi="宋体" w:eastAsia="宋体"/>
          <w:sz w:val="24"/>
          <w:szCs w:val="24"/>
        </w:rPr>
        <w:t>000</w:t>
      </w:r>
      <w:r>
        <w:rPr>
          <w:rFonts w:hint="eastAsia" w:ascii="宋体" w:hAnsi="宋体" w:eastAsia="宋体"/>
          <w:sz w:val="24"/>
          <w:szCs w:val="24"/>
        </w:rPr>
        <w:t>平米的库，平面规格为：库长</w:t>
      </w:r>
      <w:r>
        <w:rPr>
          <w:rFonts w:ascii="宋体" w:hAnsi="宋体" w:eastAsia="宋体"/>
          <w:sz w:val="24"/>
          <w:szCs w:val="24"/>
        </w:rPr>
        <w:t>60</w:t>
      </w:r>
      <w:r>
        <w:rPr>
          <w:rFonts w:hint="eastAsia" w:ascii="宋体" w:hAnsi="宋体" w:eastAsia="宋体"/>
          <w:sz w:val="24"/>
          <w:szCs w:val="24"/>
        </w:rPr>
        <w:t>米，库宽</w:t>
      </w:r>
      <w:r>
        <w:rPr>
          <w:rFonts w:ascii="宋体" w:hAnsi="宋体" w:eastAsia="宋体"/>
          <w:sz w:val="24"/>
          <w:szCs w:val="24"/>
        </w:rPr>
        <w:t>50</w:t>
      </w:r>
      <w:r>
        <w:rPr>
          <w:rFonts w:hint="eastAsia" w:ascii="宋体" w:hAnsi="宋体" w:eastAsia="宋体"/>
          <w:sz w:val="24"/>
          <w:szCs w:val="24"/>
        </w:rPr>
        <w:t>米，库高7</w:t>
      </w:r>
      <w:r>
        <w:rPr>
          <w:rFonts w:ascii="宋体" w:hAnsi="宋体" w:eastAsia="宋体"/>
          <w:sz w:val="24"/>
          <w:szCs w:val="24"/>
        </w:rPr>
        <w:t>.5</w:t>
      </w:r>
      <w:r>
        <w:rPr>
          <w:rFonts w:hint="eastAsia" w:ascii="宋体" w:hAnsi="宋体" w:eastAsia="宋体"/>
          <w:sz w:val="24"/>
          <w:szCs w:val="24"/>
        </w:rPr>
        <w:t>米，库内无立柱，且只有一条6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米边外侧可满足车辆进出及装卸的空间需要。预计年平均库存周转周期为</w:t>
      </w: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/>
          <w:sz w:val="24"/>
          <w:szCs w:val="24"/>
        </w:rPr>
        <w:t>天，对F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配送使用7米5飞翼车带板配送，对终端客户配送使用4米2厢货。为仓库建成后计划处理的货物信息如下表，请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利用所学专业知识结合所给定的信息对该仓库实施仿真布局、设备搭建成型。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计划处理的货物信息表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2122"/>
        <w:gridCol w:w="2092"/>
        <w:gridCol w:w="2092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货物编码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货物包装尺寸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（长*宽*高）m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运输包装尺寸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（长*宽*高）m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内包装个数（件）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KBC36LU6210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KBC36LU6211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495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KBC36LU6212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KBC36LU6213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495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KBC36LU6214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KBC36LU6215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KBC36LU6216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KBC36LU6217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KBC36LU6218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495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KBC36LU6219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KBC36LU6220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495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KBC36LU6221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KBC36LU6222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495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495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KBC36LU6223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KBC36LU6224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495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KBC36LU6225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9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4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KBC36LU6226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495</w:t>
            </w:r>
          </w:p>
        </w:tc>
        <w:tc>
          <w:tcPr>
            <w:tcW w:w="661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备注：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每个产品又分为A、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等各</w:t>
      </w: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/>
          <w:sz w:val="24"/>
          <w:szCs w:val="24"/>
        </w:rPr>
        <w:t>个规格，共</w:t>
      </w:r>
      <w:r>
        <w:rPr>
          <w:rFonts w:ascii="宋体" w:hAnsi="宋体" w:eastAsia="宋体"/>
          <w:sz w:val="24"/>
          <w:szCs w:val="24"/>
        </w:rPr>
        <w:t>300</w:t>
      </w:r>
      <w:r>
        <w:rPr>
          <w:rFonts w:hint="eastAsia" w:ascii="宋体" w:hAnsi="宋体" w:eastAsia="宋体"/>
          <w:sz w:val="24"/>
          <w:szCs w:val="24"/>
        </w:rPr>
        <w:t>个S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的平均在库存储量预计为：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%的S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平均在库存储量为</w:t>
      </w:r>
      <w:r>
        <w:rPr>
          <w:rFonts w:ascii="宋体" w:hAnsi="宋体" w:eastAsia="宋体"/>
          <w:sz w:val="24"/>
          <w:szCs w:val="24"/>
        </w:rPr>
        <w:t>20</w:t>
      </w:r>
      <w:r>
        <w:rPr>
          <w:rFonts w:hint="eastAsia" w:ascii="宋体" w:hAnsi="宋体" w:eastAsia="宋体"/>
          <w:sz w:val="24"/>
          <w:szCs w:val="24"/>
        </w:rPr>
        <w:t>-</w:t>
      </w:r>
      <w:r>
        <w:rPr>
          <w:rFonts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/>
          <w:sz w:val="24"/>
          <w:szCs w:val="24"/>
        </w:rPr>
        <w:t>个托盘左右，其余的S</w:t>
      </w:r>
      <w:r>
        <w:rPr>
          <w:rFonts w:ascii="宋体" w:hAnsi="宋体" w:eastAsia="宋体"/>
          <w:sz w:val="24"/>
          <w:szCs w:val="24"/>
        </w:rPr>
        <w:t>KU</w:t>
      </w:r>
      <w:r>
        <w:rPr>
          <w:rFonts w:hint="eastAsia" w:ascii="宋体" w:hAnsi="宋体" w:eastAsia="宋体"/>
          <w:sz w:val="24"/>
          <w:szCs w:val="24"/>
        </w:rPr>
        <w:t>平均在库存储量为1-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个托盘；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3.RDC</w:t>
      </w:r>
      <w:r>
        <w:rPr>
          <w:rFonts w:hint="eastAsia" w:ascii="宋体" w:hAnsi="宋体" w:eastAsia="宋体"/>
          <w:sz w:val="24"/>
          <w:szCs w:val="24"/>
        </w:rPr>
        <w:t>要求供应商必须带板送货，使用1</w:t>
      </w:r>
      <w:r>
        <w:rPr>
          <w:rFonts w:ascii="宋体" w:hAnsi="宋体" w:eastAsia="宋体"/>
          <w:sz w:val="24"/>
          <w:szCs w:val="24"/>
        </w:rPr>
        <w:t>200</w:t>
      </w:r>
      <w:r>
        <w:rPr>
          <w:rFonts w:hint="eastAsia" w:ascii="宋体" w:hAnsi="宋体" w:eastAsia="宋体"/>
          <w:sz w:val="24"/>
          <w:szCs w:val="24"/>
        </w:rPr>
        <w:t>*</w:t>
      </w:r>
      <w:r>
        <w:rPr>
          <w:rFonts w:ascii="宋体" w:hAnsi="宋体" w:eastAsia="宋体"/>
          <w:sz w:val="24"/>
          <w:szCs w:val="24"/>
        </w:rPr>
        <w:t>1000</w:t>
      </w:r>
      <w:r>
        <w:rPr>
          <w:rFonts w:hint="eastAsia" w:ascii="宋体" w:hAnsi="宋体" w:eastAsia="宋体"/>
          <w:sz w:val="24"/>
          <w:szCs w:val="24"/>
        </w:rPr>
        <w:t>*</w:t>
      </w:r>
      <w:r>
        <w:rPr>
          <w:rFonts w:ascii="宋体" w:hAnsi="宋体" w:eastAsia="宋体"/>
          <w:sz w:val="24"/>
          <w:szCs w:val="24"/>
        </w:rPr>
        <w:t>150mm</w:t>
      </w:r>
      <w:r>
        <w:rPr>
          <w:rFonts w:hint="eastAsia" w:ascii="宋体" w:hAnsi="宋体" w:eastAsia="宋体"/>
          <w:sz w:val="24"/>
          <w:szCs w:val="24"/>
        </w:rPr>
        <w:t>的木制标准托盘，托货单元总高度限制在1</w:t>
      </w:r>
      <w:r>
        <w:rPr>
          <w:rFonts w:ascii="宋体" w:hAnsi="宋体" w:eastAsia="宋体"/>
          <w:sz w:val="24"/>
          <w:szCs w:val="24"/>
        </w:rPr>
        <w:t>200mm</w:t>
      </w:r>
      <w:r>
        <w:rPr>
          <w:rFonts w:hint="eastAsia" w:ascii="宋体" w:hAnsi="宋体" w:eastAsia="宋体"/>
          <w:sz w:val="24"/>
          <w:szCs w:val="24"/>
        </w:rPr>
        <w:t>以内，供应商将使用1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米5飞翼车送货；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终端客户订货单位为“件”；F</w:t>
      </w:r>
      <w:r>
        <w:rPr>
          <w:rFonts w:ascii="宋体" w:hAnsi="宋体" w:eastAsia="宋体"/>
          <w:sz w:val="24"/>
          <w:szCs w:val="24"/>
        </w:rPr>
        <w:t>DC</w:t>
      </w:r>
      <w:r>
        <w:rPr>
          <w:rFonts w:hint="eastAsia" w:ascii="宋体" w:hAnsi="宋体" w:eastAsia="宋体"/>
          <w:sz w:val="24"/>
          <w:szCs w:val="24"/>
        </w:rPr>
        <w:t>订单单位为“箱”。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三、任务要求：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根据以上信息在相应的设备上完成该仓库布局和设备搭建，在能够满足上述业务需求的基础上要充分考虑效率、成本及安全问题；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撰写本小组仓库布局与设备搭建设计报告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设计报告内容应包括但不限于以下内容：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（1）对给定物流业务背景的理解；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（2）功能区整体布局</w:t>
      </w:r>
      <w:r>
        <w:rPr>
          <w:rFonts w:hint="eastAsia" w:ascii="宋体" w:hAnsi="宋体" w:eastAsia="宋体"/>
          <w:bCs/>
          <w:sz w:val="24"/>
          <w:szCs w:val="24"/>
        </w:rPr>
        <w:t>图</w:t>
      </w:r>
      <w:r>
        <w:rPr>
          <w:rFonts w:hint="eastAsia" w:ascii="宋体" w:hAnsi="宋体" w:eastAsia="宋体"/>
          <w:sz w:val="24"/>
          <w:szCs w:val="24"/>
        </w:rPr>
        <w:t>和各功能区面积及面积比重</w:t>
      </w:r>
      <w:r>
        <w:rPr>
          <w:rFonts w:hint="eastAsia" w:ascii="宋体" w:hAnsi="宋体" w:eastAsia="宋体"/>
          <w:bCs/>
          <w:sz w:val="24"/>
          <w:szCs w:val="24"/>
        </w:rPr>
        <w:t>表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（3）对仓库地坪和墙体的选择理由；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（4）对仓库动线类型的描述分析；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（5）对功能区的面积（长、宽）、位置设定做出说明；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（6）功能区布局与设备搭建成型效果图；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（7）阐述各类设备选型和数量设定的理由；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（8）综合描述设计完成后的仓库作业流程（含货位使用优化描述）。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报告撰写要求：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（1）严格</w:t>
      </w:r>
      <w:r>
        <w:rPr>
          <w:rFonts w:ascii="宋体" w:hAnsi="宋体" w:eastAsia="宋体"/>
          <w:sz w:val="24"/>
          <w:szCs w:val="24"/>
        </w:rPr>
        <w:t>按照</w:t>
      </w:r>
      <w:r>
        <w:rPr>
          <w:rFonts w:hint="eastAsia" w:ascii="宋体" w:hAnsi="宋体" w:eastAsia="宋体"/>
          <w:sz w:val="24"/>
          <w:szCs w:val="24"/>
        </w:rPr>
        <w:t>答题纸</w:t>
      </w:r>
      <w:r>
        <w:rPr>
          <w:rFonts w:ascii="宋体" w:hAnsi="宋体" w:eastAsia="宋体"/>
          <w:sz w:val="24"/>
          <w:szCs w:val="24"/>
        </w:rPr>
        <w:t>模板</w:t>
      </w:r>
      <w:r>
        <w:rPr>
          <w:rFonts w:hint="eastAsia" w:ascii="宋体" w:hAnsi="宋体" w:eastAsia="宋体"/>
          <w:sz w:val="24"/>
          <w:szCs w:val="24"/>
        </w:rPr>
        <w:t>撰写</w:t>
      </w:r>
      <w:r>
        <w:rPr>
          <w:rFonts w:ascii="宋体" w:hAnsi="宋体" w:eastAsia="宋体"/>
          <w:sz w:val="24"/>
          <w:szCs w:val="24"/>
        </w:rPr>
        <w:t>方案，</w:t>
      </w:r>
      <w:r>
        <w:rPr>
          <w:rFonts w:hint="eastAsia" w:ascii="宋体" w:hAnsi="宋体" w:eastAsia="宋体"/>
          <w:sz w:val="24"/>
          <w:szCs w:val="24"/>
        </w:rPr>
        <w:t>封面页眉</w:t>
      </w:r>
      <w:r>
        <w:rPr>
          <w:rFonts w:ascii="宋体" w:hAnsi="宋体" w:eastAsia="宋体"/>
          <w:sz w:val="24"/>
          <w:szCs w:val="24"/>
        </w:rPr>
        <w:t>处</w:t>
      </w:r>
      <w:r>
        <w:rPr>
          <w:rFonts w:hint="eastAsia" w:ascii="宋体" w:hAnsi="宋体" w:eastAsia="宋体"/>
          <w:sz w:val="24"/>
          <w:szCs w:val="24"/>
        </w:rPr>
        <w:t>填写参赛队号，正文要有报告题目（三号黑体），一级标题为四号黑体，其余部分为小四宋体，正文段落首行缩进，1</w:t>
      </w:r>
      <w:r>
        <w:rPr>
          <w:rFonts w:ascii="宋体" w:hAnsi="宋体" w:eastAsia="宋体"/>
          <w:sz w:val="24"/>
          <w:szCs w:val="24"/>
        </w:rPr>
        <w:t>.5</w:t>
      </w:r>
      <w:r>
        <w:rPr>
          <w:rFonts w:hint="eastAsia" w:ascii="宋体" w:hAnsi="宋体" w:eastAsia="宋体"/>
          <w:sz w:val="24"/>
          <w:szCs w:val="24"/>
        </w:rPr>
        <w:t>倍行距。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（2）排版工整、图文并茂、内容能够充分体现现代物流与供应链的管理思想以及精益管理理念。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（3）报告打印</w:t>
      </w: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>份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仓库布局设计与设备仿真搭建模块操作说明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1.配重式叉车、电动托盘车、前移式叉车配置数量依据是：库存月周转次数为2时，各1台/2000平米，月库存周转次数每增加1次，配置数量翻倍，且前移式叉车上下架效率低于配重式叉车卸车的效率，可酌情增加。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2.托盘为标准木质平托盘，规格尺寸：1200*1000*150MM，托盘、物料箱（尺寸自定）、PDA等数量无需配置，数量不受限制。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托盘货架、驶入式货架、穿梭车货架、立体库货架平均每货位材质重量约为60公斤，各货架横梁高度均按120mm计，料箱机器人货架、电子标签拣选货架横梁高度为60mm，叉车上下架所需作业空间（货架内）大于等于100mm即可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4.所有货物码托后，最大托货总重不超过360公斤。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5.仓库“五距”仅考虑顶距即可。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6.月台计入仓库面积内，地坪荷载请按整数设置。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7.所有叉车货叉提升高度均默认满足需求。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8.依据消防规定叉车充电区不设置在库内。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9.飞翼车规格尺寸：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</w:rPr>
        <w:drawing>
          <wp:inline distT="0" distB="0" distL="0" distR="0">
            <wp:extent cx="5274310" cy="21126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10.4米2厢车厢内尺寸：4.15米*2.1米*2.2米，额定吨位：2500公斤；7米5厢式货车内尺寸：7.4米*2.2米*2.2米，额定吨位5000公斤。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11.一个托盘集装单元总高度不允许超过2150mm。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以</w:t>
      </w:r>
      <w:r>
        <w:rPr>
          <w:rFonts w:ascii="宋体" w:hAnsi="宋体" w:eastAsia="宋体"/>
          <w:sz w:val="24"/>
          <w:szCs w:val="24"/>
        </w:rPr>
        <w:t>箱</w:t>
      </w:r>
      <w:r>
        <w:rPr>
          <w:rFonts w:hint="eastAsia" w:ascii="宋体" w:hAnsi="宋体" w:eastAsia="宋体"/>
          <w:sz w:val="24"/>
          <w:szCs w:val="24"/>
        </w:rPr>
        <w:t>为单位</w:t>
      </w:r>
      <w:r>
        <w:rPr>
          <w:rFonts w:ascii="宋体" w:hAnsi="宋体" w:eastAsia="宋体"/>
          <w:sz w:val="24"/>
          <w:szCs w:val="24"/>
        </w:rPr>
        <w:t>向拣选区补货。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3"/>
    <w:rsid w:val="000114D7"/>
    <w:rsid w:val="00042A2D"/>
    <w:rsid w:val="00062F17"/>
    <w:rsid w:val="00066939"/>
    <w:rsid w:val="00073C86"/>
    <w:rsid w:val="00081919"/>
    <w:rsid w:val="000B3289"/>
    <w:rsid w:val="000B3F3D"/>
    <w:rsid w:val="000E2F6C"/>
    <w:rsid w:val="000E66CC"/>
    <w:rsid w:val="00100803"/>
    <w:rsid w:val="00141717"/>
    <w:rsid w:val="00153085"/>
    <w:rsid w:val="00157322"/>
    <w:rsid w:val="001641C3"/>
    <w:rsid w:val="001758D7"/>
    <w:rsid w:val="00180A3D"/>
    <w:rsid w:val="00192D10"/>
    <w:rsid w:val="001940A8"/>
    <w:rsid w:val="001A4B92"/>
    <w:rsid w:val="001C770B"/>
    <w:rsid w:val="001D5743"/>
    <w:rsid w:val="001D6985"/>
    <w:rsid w:val="001E107A"/>
    <w:rsid w:val="001E74DA"/>
    <w:rsid w:val="002011F9"/>
    <w:rsid w:val="002071DA"/>
    <w:rsid w:val="00224128"/>
    <w:rsid w:val="00234720"/>
    <w:rsid w:val="00243CAC"/>
    <w:rsid w:val="00244F37"/>
    <w:rsid w:val="00255E84"/>
    <w:rsid w:val="00264493"/>
    <w:rsid w:val="0028596F"/>
    <w:rsid w:val="002924FD"/>
    <w:rsid w:val="002A0CCE"/>
    <w:rsid w:val="002A4726"/>
    <w:rsid w:val="002A77D7"/>
    <w:rsid w:val="002B137C"/>
    <w:rsid w:val="002C4917"/>
    <w:rsid w:val="002C5B66"/>
    <w:rsid w:val="002E2148"/>
    <w:rsid w:val="0031012A"/>
    <w:rsid w:val="0032700E"/>
    <w:rsid w:val="00332BD5"/>
    <w:rsid w:val="00334BF1"/>
    <w:rsid w:val="003523B1"/>
    <w:rsid w:val="00354129"/>
    <w:rsid w:val="003555F9"/>
    <w:rsid w:val="00363F7B"/>
    <w:rsid w:val="003644E4"/>
    <w:rsid w:val="00367CC9"/>
    <w:rsid w:val="0038193A"/>
    <w:rsid w:val="00391B99"/>
    <w:rsid w:val="00394338"/>
    <w:rsid w:val="003C03E2"/>
    <w:rsid w:val="003C6E0C"/>
    <w:rsid w:val="003D652E"/>
    <w:rsid w:val="003F0EC8"/>
    <w:rsid w:val="003F3F79"/>
    <w:rsid w:val="00400662"/>
    <w:rsid w:val="00403CB5"/>
    <w:rsid w:val="00414352"/>
    <w:rsid w:val="004213D1"/>
    <w:rsid w:val="00422DA6"/>
    <w:rsid w:val="004270F3"/>
    <w:rsid w:val="00430239"/>
    <w:rsid w:val="00433290"/>
    <w:rsid w:val="00441014"/>
    <w:rsid w:val="00445B5C"/>
    <w:rsid w:val="0047695E"/>
    <w:rsid w:val="004B76E9"/>
    <w:rsid w:val="004C4B70"/>
    <w:rsid w:val="004C5192"/>
    <w:rsid w:val="004C636E"/>
    <w:rsid w:val="004E47F1"/>
    <w:rsid w:val="004F47A6"/>
    <w:rsid w:val="005104D9"/>
    <w:rsid w:val="00510F82"/>
    <w:rsid w:val="0051339F"/>
    <w:rsid w:val="00525E6C"/>
    <w:rsid w:val="0054250E"/>
    <w:rsid w:val="00542DFC"/>
    <w:rsid w:val="00552384"/>
    <w:rsid w:val="005809CE"/>
    <w:rsid w:val="005A27AA"/>
    <w:rsid w:val="005B43E0"/>
    <w:rsid w:val="005B59FC"/>
    <w:rsid w:val="005C0C4A"/>
    <w:rsid w:val="005C21F3"/>
    <w:rsid w:val="005C3BC6"/>
    <w:rsid w:val="005E5A37"/>
    <w:rsid w:val="005F5C3F"/>
    <w:rsid w:val="005F6821"/>
    <w:rsid w:val="0061188C"/>
    <w:rsid w:val="00611AB5"/>
    <w:rsid w:val="00616B3D"/>
    <w:rsid w:val="00617525"/>
    <w:rsid w:val="006177C9"/>
    <w:rsid w:val="006215FA"/>
    <w:rsid w:val="00641661"/>
    <w:rsid w:val="00652806"/>
    <w:rsid w:val="006544D8"/>
    <w:rsid w:val="00662710"/>
    <w:rsid w:val="00665DE4"/>
    <w:rsid w:val="00675C83"/>
    <w:rsid w:val="00687C93"/>
    <w:rsid w:val="00694E55"/>
    <w:rsid w:val="0069708B"/>
    <w:rsid w:val="006A3A85"/>
    <w:rsid w:val="006C12EC"/>
    <w:rsid w:val="006D0CE8"/>
    <w:rsid w:val="006D28BE"/>
    <w:rsid w:val="006D4A2D"/>
    <w:rsid w:val="00713605"/>
    <w:rsid w:val="00726560"/>
    <w:rsid w:val="00760B0E"/>
    <w:rsid w:val="007A08C7"/>
    <w:rsid w:val="007B1C57"/>
    <w:rsid w:val="007D71BF"/>
    <w:rsid w:val="007F1FE6"/>
    <w:rsid w:val="007F44B1"/>
    <w:rsid w:val="008177BE"/>
    <w:rsid w:val="00825273"/>
    <w:rsid w:val="008438C2"/>
    <w:rsid w:val="00861F3F"/>
    <w:rsid w:val="00863895"/>
    <w:rsid w:val="00870652"/>
    <w:rsid w:val="00870913"/>
    <w:rsid w:val="00873832"/>
    <w:rsid w:val="00883CEC"/>
    <w:rsid w:val="008A186D"/>
    <w:rsid w:val="008A4E8C"/>
    <w:rsid w:val="008A568E"/>
    <w:rsid w:val="008A6B56"/>
    <w:rsid w:val="008C448E"/>
    <w:rsid w:val="008D05E9"/>
    <w:rsid w:val="008F4960"/>
    <w:rsid w:val="008F4B2C"/>
    <w:rsid w:val="009002F9"/>
    <w:rsid w:val="00903F0E"/>
    <w:rsid w:val="00910866"/>
    <w:rsid w:val="00911685"/>
    <w:rsid w:val="009243E2"/>
    <w:rsid w:val="00941B93"/>
    <w:rsid w:val="00944D83"/>
    <w:rsid w:val="009737E9"/>
    <w:rsid w:val="009845FB"/>
    <w:rsid w:val="009B3399"/>
    <w:rsid w:val="009D2A96"/>
    <w:rsid w:val="009D4272"/>
    <w:rsid w:val="009D5D73"/>
    <w:rsid w:val="009D6841"/>
    <w:rsid w:val="009E04D1"/>
    <w:rsid w:val="009E78B7"/>
    <w:rsid w:val="009F2158"/>
    <w:rsid w:val="009F485F"/>
    <w:rsid w:val="00A0556F"/>
    <w:rsid w:val="00A126F0"/>
    <w:rsid w:val="00A15A7F"/>
    <w:rsid w:val="00A2681A"/>
    <w:rsid w:val="00A2769F"/>
    <w:rsid w:val="00A30877"/>
    <w:rsid w:val="00A51015"/>
    <w:rsid w:val="00A523C3"/>
    <w:rsid w:val="00A62571"/>
    <w:rsid w:val="00A83326"/>
    <w:rsid w:val="00A855C6"/>
    <w:rsid w:val="00AA5F24"/>
    <w:rsid w:val="00AB5C0D"/>
    <w:rsid w:val="00AC08CC"/>
    <w:rsid w:val="00AC1D77"/>
    <w:rsid w:val="00AE7920"/>
    <w:rsid w:val="00B3019F"/>
    <w:rsid w:val="00B41F07"/>
    <w:rsid w:val="00B43B9B"/>
    <w:rsid w:val="00B527F9"/>
    <w:rsid w:val="00B532C5"/>
    <w:rsid w:val="00B54F6E"/>
    <w:rsid w:val="00B83CFB"/>
    <w:rsid w:val="00B86D5E"/>
    <w:rsid w:val="00B873F6"/>
    <w:rsid w:val="00BA7370"/>
    <w:rsid w:val="00BA7B62"/>
    <w:rsid w:val="00BB43DE"/>
    <w:rsid w:val="00BC4BCC"/>
    <w:rsid w:val="00BD10AA"/>
    <w:rsid w:val="00BD1B8C"/>
    <w:rsid w:val="00BF3A88"/>
    <w:rsid w:val="00C02B1D"/>
    <w:rsid w:val="00C12358"/>
    <w:rsid w:val="00C2634C"/>
    <w:rsid w:val="00C40D46"/>
    <w:rsid w:val="00C50ADC"/>
    <w:rsid w:val="00C56E49"/>
    <w:rsid w:val="00C614EA"/>
    <w:rsid w:val="00C65593"/>
    <w:rsid w:val="00C730AD"/>
    <w:rsid w:val="00C919F3"/>
    <w:rsid w:val="00CB48DD"/>
    <w:rsid w:val="00CC27FE"/>
    <w:rsid w:val="00CC6CEE"/>
    <w:rsid w:val="00D02BD2"/>
    <w:rsid w:val="00D15562"/>
    <w:rsid w:val="00D3177C"/>
    <w:rsid w:val="00D400C3"/>
    <w:rsid w:val="00D54047"/>
    <w:rsid w:val="00D60549"/>
    <w:rsid w:val="00D60EA7"/>
    <w:rsid w:val="00D647AD"/>
    <w:rsid w:val="00D73F04"/>
    <w:rsid w:val="00D84117"/>
    <w:rsid w:val="00D93D21"/>
    <w:rsid w:val="00DD32F1"/>
    <w:rsid w:val="00DF12FC"/>
    <w:rsid w:val="00E033D0"/>
    <w:rsid w:val="00E07B10"/>
    <w:rsid w:val="00E23CCB"/>
    <w:rsid w:val="00E25DC9"/>
    <w:rsid w:val="00E33170"/>
    <w:rsid w:val="00E46F98"/>
    <w:rsid w:val="00E50CBC"/>
    <w:rsid w:val="00E67D08"/>
    <w:rsid w:val="00E67D21"/>
    <w:rsid w:val="00E71A5F"/>
    <w:rsid w:val="00E75B37"/>
    <w:rsid w:val="00EA3F5A"/>
    <w:rsid w:val="00EB0136"/>
    <w:rsid w:val="00EE0F40"/>
    <w:rsid w:val="00F22A71"/>
    <w:rsid w:val="00F2343E"/>
    <w:rsid w:val="00F23D15"/>
    <w:rsid w:val="00F34DB2"/>
    <w:rsid w:val="00F5306F"/>
    <w:rsid w:val="00F55080"/>
    <w:rsid w:val="00F5779D"/>
    <w:rsid w:val="00F624EB"/>
    <w:rsid w:val="00F6795A"/>
    <w:rsid w:val="00F709C2"/>
    <w:rsid w:val="00F73433"/>
    <w:rsid w:val="00F81C3D"/>
    <w:rsid w:val="00FA62A6"/>
    <w:rsid w:val="00FB2799"/>
    <w:rsid w:val="00FB4221"/>
    <w:rsid w:val="00FC1200"/>
    <w:rsid w:val="00FC36E3"/>
    <w:rsid w:val="00FD76FE"/>
    <w:rsid w:val="00FE6E64"/>
    <w:rsid w:val="00FE6EBE"/>
    <w:rsid w:val="00FE7FF9"/>
    <w:rsid w:val="00FF2AEF"/>
    <w:rsid w:val="55D7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363</Words>
  <Characters>2071</Characters>
  <Lines>17</Lines>
  <Paragraphs>4</Paragraphs>
  <TotalTime>515</TotalTime>
  <ScaleCrop>false</ScaleCrop>
  <LinksUpToDate>false</LinksUpToDate>
  <CharactersWithSpaces>2430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2021-03-22T11:49:00Z</dcterms:created>
  <dc:creator>wxk</dc:creator>
  <cp:lastModifiedBy>嘻嘻哈哈</cp:lastModifiedBy>
  <dcterms:modified xsi:type="dcterms:W3CDTF">2021-11-16T23:27:07Z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9C707502726749B49C2DE366016E786B</vt:lpwstr>
  </property>
</Properties>
</file>