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sz w:val="24"/>
          <w:szCs w:val="24"/>
          <w:lang w:val="en-US" w:eastAsia="zh-CN"/>
        </w:rPr>
      </w:pPr>
      <w:r>
        <w:rPr>
          <w:rFonts w:hint="eastAsia" w:ascii="宋体" w:hAnsi="宋体" w:eastAsia="宋体"/>
          <w:b/>
          <w:bCs/>
          <w:sz w:val="24"/>
          <w:szCs w:val="24"/>
        </w:rPr>
        <w:t>仓库布局设计与设备仿真搭建模块</w:t>
      </w:r>
      <w:r>
        <w:rPr>
          <w:rFonts w:hint="eastAsia" w:ascii="宋体" w:hAnsi="宋体" w:eastAsia="宋体"/>
          <w:b/>
          <w:bCs/>
          <w:sz w:val="24"/>
          <w:szCs w:val="24"/>
          <w:lang w:val="en-US" w:eastAsia="zh-CN"/>
        </w:rPr>
        <w:t>3</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某电商公司计划在A市建设一个R</w:t>
      </w:r>
      <w:r>
        <w:rPr>
          <w:rFonts w:ascii="宋体" w:hAnsi="宋体" w:eastAsia="宋体"/>
          <w:sz w:val="24"/>
          <w:szCs w:val="24"/>
        </w:rPr>
        <w:t>DC</w:t>
      </w:r>
      <w:r>
        <w:rPr>
          <w:rFonts w:hint="eastAsia" w:ascii="宋体" w:hAnsi="宋体" w:eastAsia="宋体"/>
          <w:sz w:val="24"/>
          <w:szCs w:val="24"/>
        </w:rPr>
        <w:t>，用于辐射周边地区</w:t>
      </w:r>
      <w:r>
        <w:rPr>
          <w:rFonts w:ascii="宋体" w:hAnsi="宋体" w:eastAsia="宋体"/>
          <w:sz w:val="24"/>
          <w:szCs w:val="24"/>
        </w:rPr>
        <w:t>40</w:t>
      </w:r>
      <w:r>
        <w:rPr>
          <w:rFonts w:hint="eastAsia" w:ascii="宋体" w:hAnsi="宋体" w:eastAsia="宋体"/>
          <w:sz w:val="24"/>
          <w:szCs w:val="24"/>
        </w:rPr>
        <w:t>个F</w:t>
      </w:r>
      <w:r>
        <w:rPr>
          <w:rFonts w:ascii="宋体" w:hAnsi="宋体" w:eastAsia="宋体"/>
          <w:sz w:val="24"/>
          <w:szCs w:val="24"/>
        </w:rPr>
        <w:t>DC</w:t>
      </w:r>
      <w:r>
        <w:rPr>
          <w:rFonts w:hint="eastAsia" w:ascii="宋体" w:hAnsi="宋体" w:eastAsia="宋体"/>
          <w:sz w:val="24"/>
          <w:szCs w:val="24"/>
        </w:rPr>
        <w:t>，并向F</w:t>
      </w:r>
      <w:r>
        <w:rPr>
          <w:rFonts w:ascii="宋体" w:hAnsi="宋体" w:eastAsia="宋体"/>
          <w:sz w:val="24"/>
          <w:szCs w:val="24"/>
        </w:rPr>
        <w:t>DC</w:t>
      </w:r>
      <w:r>
        <w:rPr>
          <w:rFonts w:hint="eastAsia" w:ascii="宋体" w:hAnsi="宋体" w:eastAsia="宋体"/>
          <w:sz w:val="24"/>
          <w:szCs w:val="24"/>
        </w:rPr>
        <w:t>约定每个S</w:t>
      </w:r>
      <w:r>
        <w:rPr>
          <w:rFonts w:ascii="宋体" w:hAnsi="宋体" w:eastAsia="宋体"/>
          <w:sz w:val="24"/>
          <w:szCs w:val="24"/>
        </w:rPr>
        <w:t>KU</w:t>
      </w:r>
      <w:r>
        <w:rPr>
          <w:rFonts w:hint="eastAsia" w:ascii="宋体" w:hAnsi="宋体" w:eastAsia="宋体"/>
          <w:sz w:val="24"/>
          <w:szCs w:val="24"/>
        </w:rPr>
        <w:t>的订货量</w:t>
      </w:r>
      <w:r>
        <w:rPr>
          <w:rFonts w:hint="eastAsia" w:ascii="宋体" w:hAnsi="宋体" w:eastAsia="宋体"/>
          <w:sz w:val="24"/>
          <w:szCs w:val="24"/>
          <w:highlight w:val="none"/>
        </w:rPr>
        <w:t>以“托”为</w:t>
      </w:r>
      <w:r>
        <w:rPr>
          <w:rFonts w:hint="eastAsia" w:ascii="宋体" w:hAnsi="宋体" w:eastAsia="宋体"/>
          <w:sz w:val="24"/>
          <w:szCs w:val="24"/>
        </w:rPr>
        <w:t>单位，供应商送货用1</w:t>
      </w:r>
      <w:r>
        <w:rPr>
          <w:rFonts w:ascii="宋体" w:hAnsi="宋体" w:eastAsia="宋体"/>
          <w:sz w:val="24"/>
          <w:szCs w:val="24"/>
        </w:rPr>
        <w:t>2</w:t>
      </w:r>
      <w:r>
        <w:rPr>
          <w:rFonts w:hint="eastAsia" w:ascii="宋体" w:hAnsi="宋体" w:eastAsia="宋体"/>
          <w:sz w:val="24"/>
          <w:szCs w:val="24"/>
        </w:rPr>
        <w:t>米5飞翼车，向F</w:t>
      </w:r>
      <w:r>
        <w:rPr>
          <w:rFonts w:ascii="宋体" w:hAnsi="宋体" w:eastAsia="宋体"/>
          <w:sz w:val="24"/>
          <w:szCs w:val="24"/>
        </w:rPr>
        <w:t>DC</w:t>
      </w:r>
      <w:r>
        <w:rPr>
          <w:rFonts w:hint="eastAsia" w:ascii="宋体" w:hAnsi="宋体" w:eastAsia="宋体"/>
          <w:sz w:val="24"/>
          <w:szCs w:val="24"/>
        </w:rPr>
        <w:t>配送用7米5飞翼车。公司租赁了一个3</w:t>
      </w:r>
      <w:r>
        <w:rPr>
          <w:rFonts w:ascii="宋体" w:hAnsi="宋体" w:eastAsia="宋体"/>
          <w:sz w:val="24"/>
          <w:szCs w:val="24"/>
        </w:rPr>
        <w:t>000</w:t>
      </w:r>
      <w:r>
        <w:rPr>
          <w:rFonts w:hint="eastAsia" w:ascii="宋体" w:hAnsi="宋体" w:eastAsia="宋体"/>
          <w:sz w:val="24"/>
          <w:szCs w:val="24"/>
        </w:rPr>
        <w:t>平米的库，平面规格为：库长</w:t>
      </w:r>
      <w:r>
        <w:rPr>
          <w:rFonts w:ascii="宋体" w:hAnsi="宋体" w:eastAsia="宋体"/>
          <w:sz w:val="24"/>
          <w:szCs w:val="24"/>
        </w:rPr>
        <w:t>75</w:t>
      </w:r>
      <w:r>
        <w:rPr>
          <w:rFonts w:hint="eastAsia" w:ascii="宋体" w:hAnsi="宋体" w:eastAsia="宋体"/>
          <w:sz w:val="24"/>
          <w:szCs w:val="24"/>
        </w:rPr>
        <w:t>米，库宽</w:t>
      </w:r>
      <w:r>
        <w:rPr>
          <w:rFonts w:ascii="宋体" w:hAnsi="宋体" w:eastAsia="宋体"/>
          <w:sz w:val="24"/>
          <w:szCs w:val="24"/>
        </w:rPr>
        <w:t>40</w:t>
      </w:r>
      <w:r>
        <w:rPr>
          <w:rFonts w:hint="eastAsia" w:ascii="宋体" w:hAnsi="宋体" w:eastAsia="宋体"/>
          <w:sz w:val="24"/>
          <w:szCs w:val="24"/>
        </w:rPr>
        <w:t>米，库高7</w:t>
      </w:r>
      <w:r>
        <w:rPr>
          <w:rFonts w:ascii="宋体" w:hAnsi="宋体" w:eastAsia="宋体"/>
          <w:sz w:val="24"/>
          <w:szCs w:val="24"/>
        </w:rPr>
        <w:t>.5</w:t>
      </w:r>
      <w:r>
        <w:rPr>
          <w:rFonts w:hint="eastAsia" w:ascii="宋体" w:hAnsi="宋体" w:eastAsia="宋体"/>
          <w:sz w:val="24"/>
          <w:szCs w:val="24"/>
        </w:rPr>
        <w:t>米，库内无立柱。仓库建成后计划处理的货物信息如下表，请选手们利用所学专业知识结合所给定的信息对该仓库实施仿真布局、设备搭建成型。</w:t>
      </w:r>
    </w:p>
    <w:p>
      <w:pPr>
        <w:spacing w:line="360" w:lineRule="auto"/>
        <w:ind w:firstLine="482" w:firstLineChars="200"/>
        <w:jc w:val="center"/>
        <w:rPr>
          <w:rFonts w:ascii="宋体" w:hAnsi="宋体" w:eastAsia="宋体"/>
          <w:b/>
          <w:bCs/>
          <w:sz w:val="24"/>
          <w:szCs w:val="24"/>
        </w:rPr>
      </w:pPr>
      <w:r>
        <w:rPr>
          <w:rFonts w:hint="eastAsia" w:ascii="宋体" w:hAnsi="宋体" w:eastAsia="宋体"/>
          <w:b/>
          <w:bCs/>
          <w:sz w:val="24"/>
          <w:szCs w:val="24"/>
        </w:rPr>
        <w:t>计划处理的货物信息表</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2122"/>
        <w:gridCol w:w="2092"/>
        <w:gridCol w:w="2092"/>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货物编码</w:t>
            </w:r>
          </w:p>
        </w:tc>
        <w:tc>
          <w:tcPr>
            <w:tcW w:w="1227"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货物包装尺寸</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1227" w:type="pct"/>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运输包装尺寸</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661" w:type="pct"/>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内包装个数（件）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KBC36LU6210</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110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38</w:t>
            </w:r>
          </w:p>
        </w:tc>
        <w:tc>
          <w:tcPr>
            <w:tcW w:w="1227" w:type="pct"/>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360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KBC36LU6211</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75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20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360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KBC36LU6212</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98</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KBC36LU6213</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192</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12</w:t>
            </w:r>
            <w:r>
              <w:rPr>
                <w:rFonts w:hint="eastAsia" w:ascii="宋体" w:hAnsi="宋体" w:eastAsia="宋体" w:cs="宋体"/>
                <w:color w:val="000000"/>
                <w:kern w:val="0"/>
                <w:sz w:val="24"/>
                <w:szCs w:val="24"/>
              </w:rPr>
              <w:t>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KBC36LU6214</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95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85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450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1245" w:type="pct"/>
            <w:shd w:val="clear" w:color="auto" w:fill="auto"/>
            <w:noWrap/>
            <w:vAlign w:val="center"/>
          </w:tcPr>
          <w:p>
            <w:pPr>
              <w:widowControl/>
              <w:spacing w:line="360" w:lineRule="auto"/>
              <w:jc w:val="center"/>
              <w:rPr>
                <w:rFonts w:ascii="宋体" w:hAnsi="宋体" w:eastAsia="宋体"/>
                <w:color w:val="000000"/>
                <w:sz w:val="24"/>
                <w:szCs w:val="24"/>
              </w:rPr>
            </w:pPr>
            <w:r>
              <w:rPr>
                <w:rFonts w:hint="eastAsia" w:ascii="宋体" w:hAnsi="宋体" w:eastAsia="宋体"/>
                <w:color w:val="000000"/>
                <w:sz w:val="24"/>
                <w:szCs w:val="24"/>
              </w:rPr>
              <w:t>KBC36LU62</w:t>
            </w:r>
            <w:r>
              <w:rPr>
                <w:rFonts w:ascii="宋体" w:hAnsi="宋体" w:eastAsia="宋体"/>
                <w:color w:val="000000"/>
                <w:sz w:val="24"/>
                <w:szCs w:val="24"/>
              </w:rPr>
              <w:t>27</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110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38</w:t>
            </w:r>
          </w:p>
        </w:tc>
        <w:tc>
          <w:tcPr>
            <w:tcW w:w="1227" w:type="pct"/>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360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KBC36LU6215</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110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8</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60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260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KBC36LU6216</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185</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55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130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80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KBC36LU6217</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120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195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KBC36LU6218</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68</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245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280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500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KBC36LU6219</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138</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92</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13</w:t>
            </w:r>
            <w:r>
              <w:rPr>
                <w:rFonts w:hint="eastAsia" w:ascii="宋体" w:hAnsi="宋体" w:eastAsia="宋体" w:cs="宋体"/>
                <w:color w:val="000000"/>
                <w:kern w:val="0"/>
                <w:sz w:val="24"/>
                <w:szCs w:val="24"/>
              </w:rPr>
              <w:t>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380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KBC36LU6220</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75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20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360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KBC36LU6221</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98</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KBC36LU6222</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192</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12</w:t>
            </w:r>
            <w:r>
              <w:rPr>
                <w:rFonts w:hint="eastAsia" w:ascii="宋体" w:hAnsi="宋体" w:eastAsia="宋体" w:cs="宋体"/>
                <w:color w:val="000000"/>
                <w:kern w:val="0"/>
                <w:sz w:val="24"/>
                <w:szCs w:val="24"/>
              </w:rPr>
              <w:t>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5</w:t>
            </w:r>
          </w:p>
        </w:tc>
        <w:tc>
          <w:tcPr>
            <w:tcW w:w="1245" w:type="pct"/>
            <w:shd w:val="clear" w:color="auto" w:fill="auto"/>
            <w:noWrap/>
            <w:vAlign w:val="center"/>
          </w:tcPr>
          <w:p>
            <w:pPr>
              <w:widowControl/>
              <w:spacing w:line="360" w:lineRule="auto"/>
              <w:jc w:val="center"/>
              <w:rPr>
                <w:rFonts w:ascii="宋体" w:hAnsi="宋体" w:eastAsia="宋体"/>
                <w:color w:val="000000"/>
                <w:sz w:val="24"/>
                <w:szCs w:val="24"/>
              </w:rPr>
            </w:pPr>
            <w:r>
              <w:rPr>
                <w:rFonts w:hint="eastAsia" w:ascii="宋体" w:hAnsi="宋体" w:eastAsia="宋体"/>
                <w:color w:val="000000"/>
                <w:sz w:val="24"/>
                <w:szCs w:val="24"/>
              </w:rPr>
              <w:t>KBC36LU62</w:t>
            </w:r>
            <w:r>
              <w:rPr>
                <w:rFonts w:ascii="宋体" w:hAnsi="宋体" w:eastAsia="宋体"/>
                <w:color w:val="000000"/>
                <w:sz w:val="24"/>
                <w:szCs w:val="24"/>
              </w:rPr>
              <w:t>28</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68</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245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280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16</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KBC36LU6223</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95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85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450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17</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KBC36LU6224</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185</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55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130</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80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8</w:t>
            </w:r>
          </w:p>
        </w:tc>
        <w:tc>
          <w:tcPr>
            <w:tcW w:w="1245" w:type="pct"/>
            <w:shd w:val="clear" w:color="auto" w:fill="auto"/>
            <w:noWrap/>
            <w:vAlign w:val="center"/>
          </w:tcPr>
          <w:p>
            <w:pPr>
              <w:widowControl/>
              <w:spacing w:line="360" w:lineRule="auto"/>
              <w:jc w:val="center"/>
              <w:rPr>
                <w:rFonts w:ascii="宋体" w:hAnsi="宋体" w:eastAsia="宋体"/>
                <w:color w:val="000000"/>
                <w:sz w:val="24"/>
                <w:szCs w:val="24"/>
              </w:rPr>
            </w:pPr>
            <w:r>
              <w:rPr>
                <w:rFonts w:hint="eastAsia" w:ascii="宋体" w:hAnsi="宋体" w:eastAsia="宋体"/>
                <w:color w:val="000000"/>
                <w:sz w:val="24"/>
                <w:szCs w:val="24"/>
              </w:rPr>
              <w:t>KBC36LU62</w:t>
            </w:r>
            <w:r>
              <w:rPr>
                <w:rFonts w:ascii="宋体" w:hAnsi="宋体" w:eastAsia="宋体"/>
                <w:color w:val="000000"/>
                <w:sz w:val="24"/>
                <w:szCs w:val="24"/>
              </w:rPr>
              <w:t>29</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68</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245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280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6</w:t>
            </w:r>
            <w:bookmarkStart w:id="2" w:name="_GoBack"/>
            <w:bookmarkEnd w:id="2"/>
            <w:r>
              <w:rPr>
                <w:rFonts w:ascii="宋体" w:hAnsi="宋体" w:eastAsia="宋体" w:cs="宋体"/>
                <w:color w:val="000000"/>
                <w:kern w:val="0"/>
                <w:sz w:val="24"/>
                <w:szCs w:val="24"/>
              </w:rPr>
              <w:t>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19</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KBC36LU6225</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120</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45</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195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400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9"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w:t>
            </w:r>
          </w:p>
        </w:tc>
        <w:tc>
          <w:tcPr>
            <w:tcW w:w="1245" w:type="pct"/>
            <w:shd w:val="clear" w:color="auto" w:fill="auto"/>
            <w:noWrap/>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olor w:val="000000"/>
                <w:sz w:val="24"/>
                <w:szCs w:val="24"/>
              </w:rPr>
              <w:t>KBC36LU6226</w:t>
            </w:r>
          </w:p>
        </w:tc>
        <w:tc>
          <w:tcPr>
            <w:tcW w:w="1227" w:type="pct"/>
            <w:shd w:val="clear" w:color="auto" w:fill="auto"/>
            <w:noWrap/>
            <w:vAlign w:val="center"/>
          </w:tcPr>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100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68</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245</w:t>
            </w:r>
          </w:p>
        </w:tc>
        <w:tc>
          <w:tcPr>
            <w:tcW w:w="1227"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20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280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500</w:t>
            </w:r>
          </w:p>
        </w:tc>
        <w:tc>
          <w:tcPr>
            <w:tcW w:w="661" w:type="pct"/>
          </w:tcPr>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4</w:t>
            </w:r>
          </w:p>
        </w:tc>
      </w:tr>
    </w:tbl>
    <w:p>
      <w:pPr>
        <w:spacing w:line="360" w:lineRule="auto"/>
        <w:ind w:firstLine="480" w:firstLineChars="200"/>
        <w:rPr>
          <w:rFonts w:ascii="宋体" w:hAnsi="宋体" w:eastAsia="宋体"/>
          <w:sz w:val="24"/>
          <w:szCs w:val="24"/>
        </w:rPr>
      </w:pPr>
      <w:r>
        <w:rPr>
          <w:rFonts w:hint="eastAsia" w:ascii="宋体" w:hAnsi="宋体" w:eastAsia="宋体"/>
          <w:sz w:val="24"/>
          <w:szCs w:val="24"/>
        </w:rPr>
        <w:t>备注：</w:t>
      </w:r>
    </w:p>
    <w:p>
      <w:pPr>
        <w:numPr>
          <w:ilvl w:val="0"/>
          <w:numId w:val="1"/>
        </w:numPr>
        <w:spacing w:line="360" w:lineRule="auto"/>
        <w:ind w:firstLine="480" w:firstLineChars="200"/>
        <w:rPr>
          <w:rFonts w:ascii="宋体" w:hAnsi="宋体" w:eastAsia="宋体"/>
          <w:sz w:val="24"/>
          <w:szCs w:val="24"/>
        </w:rPr>
      </w:pPr>
      <w:r>
        <w:rPr>
          <w:rFonts w:hint="eastAsia" w:ascii="宋体" w:hAnsi="宋体" w:eastAsia="宋体"/>
          <w:sz w:val="24"/>
          <w:szCs w:val="24"/>
        </w:rPr>
        <w:t>每个产品又分为A、</w:t>
      </w:r>
      <w:r>
        <w:rPr>
          <w:rFonts w:ascii="宋体" w:hAnsi="宋体" w:eastAsia="宋体"/>
          <w:sz w:val="24"/>
          <w:szCs w:val="24"/>
        </w:rPr>
        <w:t>B</w:t>
      </w:r>
      <w:r>
        <w:rPr>
          <w:rFonts w:hint="eastAsia" w:ascii="宋体" w:hAnsi="宋体" w:eastAsia="宋体"/>
          <w:sz w:val="24"/>
          <w:szCs w:val="24"/>
        </w:rPr>
        <w:t>、</w:t>
      </w:r>
      <w:r>
        <w:rPr>
          <w:rFonts w:ascii="宋体" w:hAnsi="宋体" w:eastAsia="宋体"/>
          <w:sz w:val="24"/>
          <w:szCs w:val="24"/>
        </w:rPr>
        <w:t>C</w:t>
      </w:r>
      <w:r>
        <w:rPr>
          <w:rFonts w:hint="eastAsia" w:ascii="宋体" w:hAnsi="宋体" w:eastAsia="宋体"/>
          <w:sz w:val="24"/>
          <w:szCs w:val="24"/>
        </w:rPr>
        <w:t>、</w:t>
      </w:r>
      <w:r>
        <w:rPr>
          <w:rFonts w:ascii="宋体" w:hAnsi="宋体" w:eastAsia="宋体"/>
          <w:sz w:val="24"/>
          <w:szCs w:val="24"/>
        </w:rPr>
        <w:t>D</w:t>
      </w:r>
      <w:r>
        <w:rPr>
          <w:rFonts w:hint="eastAsia" w:ascii="宋体" w:hAnsi="宋体" w:eastAsia="宋体"/>
          <w:sz w:val="24"/>
          <w:szCs w:val="24"/>
        </w:rPr>
        <w:t>、</w:t>
      </w:r>
      <w:r>
        <w:rPr>
          <w:rFonts w:ascii="宋体" w:hAnsi="宋体" w:eastAsia="宋体"/>
          <w:sz w:val="24"/>
          <w:szCs w:val="24"/>
        </w:rPr>
        <w:t>E</w:t>
      </w:r>
      <w:r>
        <w:rPr>
          <w:rFonts w:hint="eastAsia" w:ascii="宋体" w:hAnsi="宋体" w:eastAsia="宋体"/>
          <w:sz w:val="24"/>
          <w:szCs w:val="24"/>
        </w:rPr>
        <w:t>、F、</w:t>
      </w:r>
      <w:r>
        <w:rPr>
          <w:rFonts w:ascii="宋体" w:hAnsi="宋体" w:eastAsia="宋体"/>
          <w:sz w:val="24"/>
          <w:szCs w:val="24"/>
        </w:rPr>
        <w:t>G</w:t>
      </w:r>
      <w:r>
        <w:rPr>
          <w:rFonts w:hint="eastAsia" w:ascii="宋体" w:hAnsi="宋体" w:eastAsia="宋体"/>
          <w:sz w:val="24"/>
          <w:szCs w:val="24"/>
        </w:rPr>
        <w:t>、</w:t>
      </w:r>
      <w:r>
        <w:rPr>
          <w:rFonts w:ascii="宋体" w:hAnsi="宋体" w:eastAsia="宋体"/>
          <w:sz w:val="24"/>
          <w:szCs w:val="24"/>
        </w:rPr>
        <w:t>H</w:t>
      </w:r>
      <w:r>
        <w:rPr>
          <w:rFonts w:hint="eastAsia" w:ascii="宋体" w:hAnsi="宋体" w:eastAsia="宋体"/>
          <w:sz w:val="24"/>
          <w:szCs w:val="24"/>
        </w:rPr>
        <w:t>、</w:t>
      </w:r>
      <w:r>
        <w:rPr>
          <w:rFonts w:ascii="宋体" w:hAnsi="宋体" w:eastAsia="宋体"/>
          <w:sz w:val="24"/>
          <w:szCs w:val="24"/>
        </w:rPr>
        <w:t>I</w:t>
      </w:r>
      <w:r>
        <w:rPr>
          <w:rFonts w:hint="eastAsia" w:ascii="宋体" w:hAnsi="宋体" w:eastAsia="宋体"/>
          <w:sz w:val="24"/>
          <w:szCs w:val="24"/>
        </w:rPr>
        <w:t>、</w:t>
      </w:r>
      <w:r>
        <w:rPr>
          <w:rFonts w:ascii="宋体" w:hAnsi="宋体" w:eastAsia="宋体"/>
          <w:sz w:val="24"/>
          <w:szCs w:val="24"/>
        </w:rPr>
        <w:t>J</w:t>
      </w:r>
      <w:r>
        <w:rPr>
          <w:rFonts w:hint="eastAsia" w:ascii="宋体" w:hAnsi="宋体" w:eastAsia="宋体"/>
          <w:sz w:val="24"/>
          <w:szCs w:val="24"/>
        </w:rPr>
        <w:t>共</w:t>
      </w:r>
      <w:r>
        <w:rPr>
          <w:rFonts w:ascii="宋体" w:hAnsi="宋体" w:eastAsia="宋体"/>
          <w:sz w:val="24"/>
          <w:szCs w:val="24"/>
        </w:rPr>
        <w:t>10</w:t>
      </w:r>
      <w:r>
        <w:rPr>
          <w:rFonts w:hint="eastAsia" w:ascii="宋体" w:hAnsi="宋体" w:eastAsia="宋体"/>
          <w:sz w:val="24"/>
          <w:szCs w:val="24"/>
        </w:rPr>
        <w:t>个规格，共</w:t>
      </w:r>
      <w:r>
        <w:rPr>
          <w:rFonts w:ascii="宋体" w:hAnsi="宋体" w:eastAsia="宋体"/>
          <w:sz w:val="24"/>
          <w:szCs w:val="24"/>
        </w:rPr>
        <w:t>200</w:t>
      </w:r>
      <w:r>
        <w:rPr>
          <w:rFonts w:hint="eastAsia" w:ascii="宋体" w:hAnsi="宋体" w:eastAsia="宋体"/>
          <w:sz w:val="24"/>
          <w:szCs w:val="24"/>
        </w:rPr>
        <w:t>个S</w:t>
      </w:r>
      <w:r>
        <w:rPr>
          <w:rFonts w:ascii="宋体" w:hAnsi="宋体" w:eastAsia="宋体"/>
          <w:sz w:val="24"/>
          <w:szCs w:val="24"/>
        </w:rPr>
        <w:t>KU</w:t>
      </w:r>
      <w:r>
        <w:rPr>
          <w:rFonts w:hint="eastAsia" w:ascii="宋体" w:hAnsi="宋体" w:eastAsia="宋体"/>
          <w:sz w:val="24"/>
          <w:szCs w:val="24"/>
        </w:rPr>
        <w:t>；</w:t>
      </w:r>
    </w:p>
    <w:p>
      <w:pPr>
        <w:pStyle w:val="9"/>
        <w:numPr>
          <w:ilvl w:val="0"/>
          <w:numId w:val="1"/>
        </w:numPr>
        <w:spacing w:line="360" w:lineRule="auto"/>
        <w:ind w:firstLineChars="0"/>
        <w:rPr>
          <w:rFonts w:hint="eastAsia" w:ascii="宋体" w:hAnsi="宋体" w:eastAsia="宋体"/>
          <w:sz w:val="24"/>
          <w:szCs w:val="24"/>
        </w:rPr>
      </w:pPr>
      <w:r>
        <w:rPr>
          <w:rFonts w:hint="eastAsia" w:ascii="宋体" w:hAnsi="宋体" w:eastAsia="宋体"/>
          <w:sz w:val="24"/>
          <w:szCs w:val="24"/>
        </w:rPr>
        <w:t>各S</w:t>
      </w:r>
      <w:r>
        <w:rPr>
          <w:rFonts w:ascii="宋体" w:hAnsi="宋体" w:eastAsia="宋体"/>
          <w:sz w:val="24"/>
          <w:szCs w:val="24"/>
        </w:rPr>
        <w:t>KU</w:t>
      </w:r>
      <w:r>
        <w:rPr>
          <w:rFonts w:hint="eastAsia" w:ascii="宋体" w:hAnsi="宋体" w:eastAsia="宋体"/>
          <w:sz w:val="24"/>
          <w:szCs w:val="24"/>
        </w:rPr>
        <w:t>的平均在库存储量预计为：</w:t>
      </w:r>
      <w:r>
        <w:rPr>
          <w:rFonts w:ascii="宋体" w:hAnsi="宋体" w:eastAsia="宋体"/>
          <w:sz w:val="24"/>
          <w:szCs w:val="24"/>
        </w:rPr>
        <w:t>5</w:t>
      </w:r>
      <w:r>
        <w:rPr>
          <w:rFonts w:hint="eastAsia" w:ascii="宋体" w:hAnsi="宋体" w:eastAsia="宋体"/>
          <w:sz w:val="24"/>
          <w:szCs w:val="24"/>
        </w:rPr>
        <w:t>%的S</w:t>
      </w:r>
      <w:r>
        <w:rPr>
          <w:rFonts w:ascii="宋体" w:hAnsi="宋体" w:eastAsia="宋体"/>
          <w:sz w:val="24"/>
          <w:szCs w:val="24"/>
        </w:rPr>
        <w:t>KU</w:t>
      </w:r>
      <w:r>
        <w:rPr>
          <w:rFonts w:hint="eastAsia" w:ascii="宋体" w:hAnsi="宋体" w:eastAsia="宋体"/>
          <w:sz w:val="24"/>
          <w:szCs w:val="24"/>
        </w:rPr>
        <w:t>在库存储量为20-45个托盘左右，1</w:t>
      </w:r>
      <w:r>
        <w:rPr>
          <w:rFonts w:ascii="宋体" w:hAnsi="宋体" w:eastAsia="宋体"/>
          <w:sz w:val="24"/>
          <w:szCs w:val="24"/>
        </w:rPr>
        <w:t>0</w:t>
      </w:r>
      <w:r>
        <w:rPr>
          <w:rFonts w:hint="eastAsia" w:ascii="宋体" w:hAnsi="宋体" w:eastAsia="宋体"/>
          <w:sz w:val="24"/>
          <w:szCs w:val="24"/>
        </w:rPr>
        <w:t>%的S</w:t>
      </w:r>
      <w:r>
        <w:rPr>
          <w:rFonts w:ascii="宋体" w:hAnsi="宋体" w:eastAsia="宋体"/>
          <w:sz w:val="24"/>
          <w:szCs w:val="24"/>
        </w:rPr>
        <w:t>KU</w:t>
      </w:r>
      <w:r>
        <w:rPr>
          <w:rFonts w:hint="eastAsia" w:ascii="宋体" w:hAnsi="宋体" w:eastAsia="宋体"/>
          <w:sz w:val="24"/>
          <w:szCs w:val="24"/>
        </w:rPr>
        <w:t>在库存储量为5-</w:t>
      </w:r>
      <w:r>
        <w:rPr>
          <w:rFonts w:ascii="宋体" w:hAnsi="宋体" w:eastAsia="宋体"/>
          <w:sz w:val="24"/>
          <w:szCs w:val="24"/>
        </w:rPr>
        <w:t>20</w:t>
      </w:r>
      <w:r>
        <w:rPr>
          <w:rFonts w:hint="eastAsia" w:ascii="宋体" w:hAnsi="宋体" w:eastAsia="宋体"/>
          <w:sz w:val="24"/>
          <w:szCs w:val="24"/>
        </w:rPr>
        <w:t>个托盘左右，其余的S</w:t>
      </w:r>
      <w:r>
        <w:rPr>
          <w:rFonts w:ascii="宋体" w:hAnsi="宋体" w:eastAsia="宋体"/>
          <w:sz w:val="24"/>
          <w:szCs w:val="24"/>
        </w:rPr>
        <w:t>KU</w:t>
      </w:r>
      <w:r>
        <w:rPr>
          <w:rFonts w:hint="eastAsia" w:ascii="宋体" w:hAnsi="宋体" w:eastAsia="宋体"/>
          <w:sz w:val="24"/>
          <w:szCs w:val="24"/>
        </w:rPr>
        <w:t>平仔在库存储量为</w:t>
      </w:r>
      <w:r>
        <w:rPr>
          <w:rFonts w:ascii="宋体" w:hAnsi="宋体" w:eastAsia="宋体"/>
          <w:sz w:val="24"/>
          <w:szCs w:val="24"/>
        </w:rPr>
        <w:t>4</w:t>
      </w:r>
      <w:r>
        <w:rPr>
          <w:rFonts w:hint="eastAsia" w:ascii="宋体" w:hAnsi="宋体" w:eastAsia="宋体"/>
          <w:sz w:val="24"/>
          <w:szCs w:val="24"/>
        </w:rPr>
        <w:t>个托盘左右，</w:t>
      </w:r>
      <w:bookmarkStart w:id="0" w:name="_Hlk74518608"/>
      <w:r>
        <w:rPr>
          <w:rFonts w:hint="eastAsia" w:ascii="宋体" w:hAnsi="宋体" w:eastAsia="宋体"/>
          <w:sz w:val="24"/>
          <w:szCs w:val="24"/>
        </w:rPr>
        <w:t>整体库存平均周转周期约为</w:t>
      </w:r>
      <w:r>
        <w:rPr>
          <w:rFonts w:ascii="宋体" w:hAnsi="宋体" w:eastAsia="宋体"/>
          <w:sz w:val="24"/>
          <w:szCs w:val="24"/>
        </w:rPr>
        <w:t>7.5</w:t>
      </w:r>
      <w:r>
        <w:rPr>
          <w:rFonts w:hint="eastAsia" w:ascii="宋体" w:hAnsi="宋体" w:eastAsia="宋体"/>
          <w:sz w:val="24"/>
          <w:szCs w:val="24"/>
        </w:rPr>
        <w:t>天</w:t>
      </w:r>
      <w:bookmarkEnd w:id="0"/>
      <w:r>
        <w:rPr>
          <w:rFonts w:hint="eastAsia" w:ascii="宋体" w:hAnsi="宋体" w:eastAsia="宋体"/>
          <w:sz w:val="24"/>
          <w:szCs w:val="24"/>
        </w:rPr>
        <w:t>，且</w:t>
      </w:r>
      <w:bookmarkStart w:id="1" w:name="_Hlk74522093"/>
      <w:r>
        <w:rPr>
          <w:rFonts w:hint="eastAsia" w:ascii="宋体" w:hAnsi="宋体" w:eastAsia="宋体"/>
          <w:sz w:val="24"/>
          <w:szCs w:val="24"/>
        </w:rPr>
        <w:t>收发货高峰期基本重叠</w:t>
      </w:r>
      <w:bookmarkEnd w:id="1"/>
      <w:r>
        <w:rPr>
          <w:rFonts w:hint="eastAsia" w:ascii="宋体" w:hAnsi="宋体" w:eastAsia="宋体"/>
          <w:sz w:val="24"/>
          <w:szCs w:val="24"/>
          <w:lang w:eastAsia="zh-CN"/>
        </w:rPr>
        <w:t>。</w:t>
      </w:r>
    </w:p>
    <w:p>
      <w:pPr>
        <w:spacing w:line="360" w:lineRule="auto"/>
        <w:ind w:firstLine="480" w:firstLineChars="200"/>
        <w:rPr>
          <w:rFonts w:ascii="宋体" w:hAnsi="宋体" w:eastAsia="宋体"/>
          <w:sz w:val="24"/>
          <w:szCs w:val="24"/>
        </w:rPr>
      </w:pPr>
      <w:r>
        <w:rPr>
          <w:rFonts w:ascii="宋体" w:hAnsi="宋体" w:eastAsia="宋体"/>
          <w:sz w:val="24"/>
          <w:szCs w:val="24"/>
        </w:rPr>
        <w:t>3.RDC</w:t>
      </w:r>
      <w:r>
        <w:rPr>
          <w:rFonts w:hint="eastAsia" w:ascii="宋体" w:hAnsi="宋体" w:eastAsia="宋体"/>
          <w:sz w:val="24"/>
          <w:szCs w:val="24"/>
        </w:rPr>
        <w:t>要求供应商必须带板（托盘）送货，使用1</w:t>
      </w:r>
      <w:r>
        <w:rPr>
          <w:rFonts w:ascii="宋体" w:hAnsi="宋体" w:eastAsia="宋体"/>
          <w:sz w:val="24"/>
          <w:szCs w:val="24"/>
        </w:rPr>
        <w:t>200</w:t>
      </w:r>
      <w:r>
        <w:rPr>
          <w:rFonts w:hint="eastAsia" w:ascii="宋体" w:hAnsi="宋体" w:eastAsia="宋体"/>
          <w:sz w:val="24"/>
          <w:szCs w:val="24"/>
        </w:rPr>
        <w:t>*</w:t>
      </w:r>
      <w:r>
        <w:rPr>
          <w:rFonts w:ascii="宋体" w:hAnsi="宋体" w:eastAsia="宋体"/>
          <w:sz w:val="24"/>
          <w:szCs w:val="24"/>
        </w:rPr>
        <w:t>1000</w:t>
      </w:r>
      <w:r>
        <w:rPr>
          <w:rFonts w:hint="eastAsia" w:ascii="宋体" w:hAnsi="宋体" w:eastAsia="宋体"/>
          <w:sz w:val="24"/>
          <w:szCs w:val="24"/>
        </w:rPr>
        <w:t>*</w:t>
      </w:r>
      <w:r>
        <w:rPr>
          <w:rFonts w:ascii="宋体" w:hAnsi="宋体" w:eastAsia="宋体"/>
          <w:sz w:val="24"/>
          <w:szCs w:val="24"/>
        </w:rPr>
        <w:t>150mm</w:t>
      </w:r>
      <w:r>
        <w:rPr>
          <w:rFonts w:hint="eastAsia" w:ascii="宋体" w:hAnsi="宋体" w:eastAsia="宋体"/>
          <w:sz w:val="24"/>
          <w:szCs w:val="24"/>
        </w:rPr>
        <w:t>的木制标准托盘，托货总高度限制在1</w:t>
      </w:r>
      <w:r>
        <w:rPr>
          <w:rFonts w:ascii="宋体" w:hAnsi="宋体" w:eastAsia="宋体"/>
          <w:sz w:val="24"/>
          <w:szCs w:val="24"/>
        </w:rPr>
        <w:t>200mm</w:t>
      </w:r>
      <w:r>
        <w:rPr>
          <w:rFonts w:hint="eastAsia" w:ascii="宋体" w:hAnsi="宋体" w:eastAsia="宋体"/>
          <w:sz w:val="24"/>
          <w:szCs w:val="24"/>
        </w:rPr>
        <w:t>以内;</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三、任务要求：</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根据以上信息在相应的设备上完成该仓库布局和设备搭建，在能够满足上述业务需求的基础上要充分考虑效率、成本及安全问题；</w:t>
      </w:r>
    </w:p>
    <w:p>
      <w:pPr>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撰写本小组仓库布局与设备搭建设计报告</w:t>
      </w:r>
    </w:p>
    <w:p>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 设计报告内容应包括但不限于以下内容：</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（1）对给定物流业务背景的理解；</w:t>
      </w:r>
    </w:p>
    <w:p>
      <w:pPr>
        <w:spacing w:line="360" w:lineRule="auto"/>
        <w:ind w:firstLine="480" w:firstLineChars="200"/>
        <w:rPr>
          <w:rFonts w:ascii="宋体" w:hAnsi="宋体" w:eastAsia="宋体"/>
          <w:sz w:val="24"/>
          <w:szCs w:val="24"/>
        </w:rPr>
      </w:pPr>
      <w:r>
        <w:rPr>
          <w:rFonts w:hint="eastAsia" w:ascii="宋体" w:hAnsi="宋体" w:eastAsia="宋体"/>
          <w:sz w:val="24"/>
          <w:szCs w:val="24"/>
        </w:rPr>
        <w:t>（2）功能区整体布局</w:t>
      </w:r>
      <w:r>
        <w:rPr>
          <w:rFonts w:hint="eastAsia" w:ascii="宋体" w:hAnsi="宋体" w:eastAsia="宋体"/>
          <w:b/>
          <w:bCs/>
          <w:sz w:val="24"/>
          <w:szCs w:val="24"/>
        </w:rPr>
        <w:t>图</w:t>
      </w:r>
      <w:r>
        <w:rPr>
          <w:rFonts w:hint="eastAsia" w:ascii="宋体" w:hAnsi="宋体" w:eastAsia="宋体"/>
          <w:sz w:val="24"/>
          <w:szCs w:val="24"/>
        </w:rPr>
        <w:t>和各功能区面积及面积比重</w:t>
      </w:r>
      <w:r>
        <w:rPr>
          <w:rFonts w:hint="eastAsia" w:ascii="宋体" w:hAnsi="宋体" w:eastAsia="宋体"/>
          <w:b/>
          <w:bCs/>
          <w:sz w:val="24"/>
          <w:szCs w:val="24"/>
        </w:rPr>
        <w:t>表</w:t>
      </w:r>
      <w:r>
        <w:rPr>
          <w:rFonts w:hint="eastAsia"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（3）对仓库地坪和墙体的选择理由；</w:t>
      </w:r>
    </w:p>
    <w:p>
      <w:pPr>
        <w:spacing w:line="360" w:lineRule="auto"/>
        <w:ind w:firstLine="480" w:firstLineChars="200"/>
        <w:rPr>
          <w:rFonts w:ascii="宋体" w:hAnsi="宋体" w:eastAsia="宋体"/>
          <w:sz w:val="24"/>
          <w:szCs w:val="24"/>
        </w:rPr>
      </w:pPr>
      <w:r>
        <w:rPr>
          <w:rFonts w:hint="eastAsia" w:ascii="宋体" w:hAnsi="宋体" w:eastAsia="宋体"/>
          <w:sz w:val="24"/>
          <w:szCs w:val="24"/>
        </w:rPr>
        <w:t>（4）对仓库动线类型的描述分析；</w:t>
      </w:r>
    </w:p>
    <w:p>
      <w:pPr>
        <w:spacing w:line="360" w:lineRule="auto"/>
        <w:ind w:firstLine="480" w:firstLineChars="200"/>
        <w:rPr>
          <w:rFonts w:ascii="宋体" w:hAnsi="宋体" w:eastAsia="宋体"/>
          <w:sz w:val="24"/>
          <w:szCs w:val="24"/>
        </w:rPr>
      </w:pPr>
      <w:r>
        <w:rPr>
          <w:rFonts w:hint="eastAsia" w:ascii="宋体" w:hAnsi="宋体" w:eastAsia="宋体"/>
          <w:sz w:val="24"/>
          <w:szCs w:val="24"/>
        </w:rPr>
        <w:t>（5）对功能区的面积（长、宽）、位置设定做出说明；</w:t>
      </w:r>
    </w:p>
    <w:p>
      <w:pPr>
        <w:spacing w:line="360" w:lineRule="auto"/>
        <w:ind w:firstLine="480" w:firstLineChars="200"/>
        <w:rPr>
          <w:rFonts w:ascii="宋体" w:hAnsi="宋体" w:eastAsia="宋体"/>
          <w:sz w:val="24"/>
          <w:szCs w:val="24"/>
        </w:rPr>
      </w:pPr>
      <w:r>
        <w:rPr>
          <w:rFonts w:hint="eastAsia" w:ascii="宋体" w:hAnsi="宋体" w:eastAsia="宋体"/>
          <w:sz w:val="24"/>
          <w:szCs w:val="24"/>
        </w:rPr>
        <w:t>（6）功能区布局与设备搭建成型效果图；</w:t>
      </w:r>
    </w:p>
    <w:p>
      <w:pPr>
        <w:spacing w:line="360" w:lineRule="auto"/>
        <w:ind w:firstLine="480" w:firstLineChars="200"/>
        <w:rPr>
          <w:rFonts w:ascii="宋体" w:hAnsi="宋体" w:eastAsia="宋体"/>
          <w:sz w:val="24"/>
          <w:szCs w:val="24"/>
        </w:rPr>
      </w:pPr>
      <w:r>
        <w:rPr>
          <w:rFonts w:hint="eastAsia" w:ascii="宋体" w:hAnsi="宋体" w:eastAsia="宋体"/>
          <w:sz w:val="24"/>
          <w:szCs w:val="24"/>
        </w:rPr>
        <w:t>（7）阐述各类设备选型和数量设定的理由；</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（8）综合描述设计完成后的仓库作业流程（含货位使用优化描述）。</w:t>
      </w:r>
    </w:p>
    <w:p>
      <w:pPr>
        <w:spacing w:line="360" w:lineRule="auto"/>
        <w:ind w:firstLine="480" w:firstLineChars="200"/>
        <w:rPr>
          <w:rFonts w:hint="eastAsia" w:ascii="宋体" w:hAnsi="宋体" w:eastAsia="宋体"/>
          <w:sz w:val="24"/>
          <w:szCs w:val="24"/>
        </w:rPr>
      </w:pPr>
    </w:p>
    <w:p>
      <w:pPr>
        <w:spacing w:line="360" w:lineRule="auto"/>
        <w:ind w:firstLine="480" w:firstLineChars="200"/>
        <w:rPr>
          <w:rFonts w:hint="eastAsia" w:ascii="宋体" w:hAnsi="宋体" w:eastAsia="宋体"/>
          <w:sz w:val="24"/>
          <w:szCs w:val="24"/>
        </w:rPr>
      </w:pPr>
    </w:p>
    <w:p>
      <w:pPr>
        <w:spacing w:line="360" w:lineRule="auto"/>
        <w:ind w:firstLine="480" w:firstLineChars="200"/>
        <w:rPr>
          <w:rFonts w:hint="eastAsia" w:ascii="宋体" w:hAnsi="宋体" w:eastAsia="宋体"/>
          <w:sz w:val="24"/>
          <w:szCs w:val="24"/>
        </w:rPr>
      </w:pPr>
    </w:p>
    <w:p>
      <w:pPr>
        <w:spacing w:line="360" w:lineRule="auto"/>
        <w:ind w:firstLine="480" w:firstLineChars="200"/>
        <w:rPr>
          <w:rFonts w:hint="eastAsia" w:ascii="宋体" w:hAnsi="宋体" w:eastAsia="宋体"/>
          <w:sz w:val="24"/>
          <w:szCs w:val="24"/>
        </w:rPr>
      </w:pPr>
    </w:p>
    <w:p>
      <w:pPr>
        <w:spacing w:line="360" w:lineRule="auto"/>
        <w:ind w:firstLine="480" w:firstLineChars="200"/>
        <w:rPr>
          <w:rFonts w:hint="eastAsia" w:ascii="宋体" w:hAnsi="宋体" w:eastAsia="宋体"/>
          <w:sz w:val="24"/>
          <w:szCs w:val="24"/>
        </w:rPr>
      </w:pPr>
    </w:p>
    <w:p>
      <w:pPr>
        <w:spacing w:line="360" w:lineRule="auto"/>
        <w:ind w:firstLine="480" w:firstLineChars="200"/>
        <w:rPr>
          <w:rFonts w:ascii="宋体" w:hAnsi="宋体" w:eastAsia="宋体"/>
          <w:sz w:val="24"/>
          <w:szCs w:val="24"/>
        </w:rPr>
      </w:pPr>
    </w:p>
    <w:p>
      <w:pPr>
        <w:jc w:val="center"/>
        <w:rPr>
          <w:rFonts w:ascii="宋体" w:hAnsi="宋体" w:eastAsia="宋体"/>
          <w:b/>
          <w:bCs/>
          <w:sz w:val="28"/>
          <w:szCs w:val="28"/>
        </w:rPr>
      </w:pPr>
      <w:r>
        <w:rPr>
          <w:rFonts w:hint="eastAsia" w:ascii="宋体" w:hAnsi="宋体" w:eastAsia="宋体"/>
          <w:b/>
          <w:bCs/>
          <w:sz w:val="28"/>
          <w:szCs w:val="28"/>
        </w:rPr>
        <w:t>仓库布局设计与设备仿真搭建模块操作说明</w:t>
      </w:r>
    </w:p>
    <w:p>
      <w:pPr>
        <w:spacing w:line="360" w:lineRule="auto"/>
        <w:rPr>
          <w:rFonts w:ascii="宋体" w:hAnsi="宋体" w:eastAsia="宋体"/>
          <w:b/>
          <w:bCs/>
          <w:sz w:val="24"/>
          <w:szCs w:val="24"/>
        </w:rPr>
      </w:pPr>
    </w:p>
    <w:p>
      <w:pPr>
        <w:spacing w:line="360" w:lineRule="auto"/>
        <w:rPr>
          <w:rFonts w:hint="eastAsia" w:ascii="宋体" w:hAnsi="宋体" w:eastAsia="宋体"/>
          <w:sz w:val="24"/>
          <w:szCs w:val="24"/>
          <w:lang w:eastAsia="zh-CN"/>
        </w:rPr>
      </w:pPr>
      <w:r>
        <w:rPr>
          <w:rFonts w:hint="eastAsia" w:ascii="宋体" w:hAnsi="宋体" w:eastAsia="宋体"/>
          <w:sz w:val="24"/>
          <w:szCs w:val="24"/>
        </w:rPr>
        <w:t>1.配重式叉车、电动托盘车、前移式叉车配置数量依据是：库存月周转次数为2时，各1台/2000平米，月库存周转次数每增加1次，配置数量翻倍，且前移式叉车上下架效率低于配重式叉车卸车的效率，可酌情增加</w:t>
      </w:r>
      <w:r>
        <w:rPr>
          <w:rFonts w:hint="eastAsia" w:ascii="宋体" w:hAnsi="宋体" w:eastAsia="宋体"/>
          <w:sz w:val="24"/>
          <w:szCs w:val="24"/>
          <w:lang w:eastAsia="zh-CN"/>
        </w:rPr>
        <w:t>。</w:t>
      </w:r>
    </w:p>
    <w:p>
      <w:pPr>
        <w:spacing w:line="360" w:lineRule="auto"/>
        <w:rPr>
          <w:rFonts w:hint="eastAsia" w:ascii="宋体" w:hAnsi="宋体" w:eastAsia="宋体"/>
          <w:sz w:val="24"/>
          <w:szCs w:val="24"/>
          <w:lang w:eastAsia="zh-CN"/>
        </w:rPr>
      </w:pPr>
      <w:r>
        <w:rPr>
          <w:rFonts w:hint="eastAsia" w:ascii="宋体" w:hAnsi="宋体" w:eastAsia="宋体"/>
          <w:sz w:val="24"/>
          <w:szCs w:val="24"/>
        </w:rPr>
        <w:t>2.托盘为标准木质平托盘，规格尺寸：1200*1000*150MM，托盘、物料箱（尺寸自定）、PDA等数量无需配置，数量不受限制</w:t>
      </w:r>
      <w:r>
        <w:rPr>
          <w:rFonts w:hint="eastAsia" w:ascii="宋体" w:hAnsi="宋体" w:eastAsia="宋体"/>
          <w:sz w:val="24"/>
          <w:szCs w:val="24"/>
          <w:lang w:eastAsia="zh-CN"/>
        </w:rPr>
        <w:t>。</w:t>
      </w:r>
    </w:p>
    <w:p>
      <w:pPr>
        <w:spacing w:line="360" w:lineRule="auto"/>
        <w:rPr>
          <w:rFonts w:hint="eastAsia" w:ascii="宋体" w:hAnsi="宋体" w:eastAsia="宋体"/>
          <w:sz w:val="24"/>
          <w:szCs w:val="24"/>
          <w:lang w:eastAsia="zh-CN"/>
        </w:rPr>
      </w:pPr>
      <w:r>
        <w:rPr>
          <w:rFonts w:hint="eastAsia" w:ascii="宋体" w:hAnsi="宋体" w:eastAsia="宋体"/>
          <w:sz w:val="24"/>
          <w:szCs w:val="24"/>
        </w:rPr>
        <w:t>3.托盘货架、驶入式货架、穿梭车货架、立体库货架平均每货位材质重量约为60公斤，各货架横梁高度均按120mm计，料想机器人货架、电子标签拣选货架横梁高度为60mm，叉车上下架所需作业空间（货架内）大于等于100mm即可</w:t>
      </w:r>
      <w:r>
        <w:rPr>
          <w:rFonts w:hint="eastAsia" w:ascii="宋体" w:hAnsi="宋体" w:eastAsia="宋体"/>
          <w:sz w:val="24"/>
          <w:szCs w:val="24"/>
          <w:lang w:eastAsia="zh-CN"/>
        </w:rPr>
        <w:t>。</w:t>
      </w:r>
    </w:p>
    <w:p>
      <w:pPr>
        <w:spacing w:line="360" w:lineRule="auto"/>
        <w:rPr>
          <w:rFonts w:ascii="宋体" w:hAnsi="宋体" w:eastAsia="宋体"/>
          <w:sz w:val="24"/>
          <w:szCs w:val="24"/>
        </w:rPr>
      </w:pPr>
      <w:r>
        <w:rPr>
          <w:rFonts w:hint="eastAsia" w:ascii="宋体" w:hAnsi="宋体" w:eastAsia="宋体"/>
          <w:sz w:val="24"/>
          <w:szCs w:val="24"/>
        </w:rPr>
        <w:t>4.所有货物码托后，最大托货总重不超过360公斤</w:t>
      </w:r>
    </w:p>
    <w:p>
      <w:pPr>
        <w:spacing w:line="360" w:lineRule="auto"/>
        <w:rPr>
          <w:rFonts w:ascii="宋体" w:hAnsi="宋体" w:eastAsia="宋体"/>
          <w:sz w:val="24"/>
          <w:szCs w:val="24"/>
        </w:rPr>
      </w:pPr>
      <w:r>
        <w:rPr>
          <w:rFonts w:hint="eastAsia" w:ascii="宋体" w:hAnsi="宋体" w:eastAsia="宋体"/>
          <w:sz w:val="24"/>
          <w:szCs w:val="24"/>
        </w:rPr>
        <w:t>5.仓库“五距”仅考虑顶距即可</w:t>
      </w:r>
    </w:p>
    <w:p>
      <w:pPr>
        <w:spacing w:line="360" w:lineRule="auto"/>
        <w:rPr>
          <w:rFonts w:ascii="宋体" w:hAnsi="宋体" w:eastAsia="宋体"/>
          <w:sz w:val="24"/>
          <w:szCs w:val="24"/>
        </w:rPr>
      </w:pPr>
      <w:r>
        <w:rPr>
          <w:rFonts w:hint="eastAsia" w:ascii="宋体" w:hAnsi="宋体" w:eastAsia="宋体"/>
          <w:sz w:val="24"/>
          <w:szCs w:val="24"/>
        </w:rPr>
        <w:t>6.月台计入仓库面积内，地坪荷载请按整数设置</w:t>
      </w:r>
    </w:p>
    <w:p>
      <w:pPr>
        <w:spacing w:line="360" w:lineRule="auto"/>
        <w:rPr>
          <w:rFonts w:ascii="宋体" w:hAnsi="宋体" w:eastAsia="宋体"/>
          <w:sz w:val="24"/>
          <w:szCs w:val="24"/>
        </w:rPr>
      </w:pPr>
      <w:r>
        <w:rPr>
          <w:rFonts w:hint="eastAsia" w:ascii="宋体" w:hAnsi="宋体" w:eastAsia="宋体"/>
          <w:sz w:val="24"/>
          <w:szCs w:val="24"/>
        </w:rPr>
        <w:t>7.所有叉车货叉提升高度均默认满足需求</w:t>
      </w:r>
    </w:p>
    <w:p>
      <w:pPr>
        <w:spacing w:line="360" w:lineRule="auto"/>
        <w:rPr>
          <w:rFonts w:ascii="宋体" w:hAnsi="宋体" w:eastAsia="宋体"/>
          <w:sz w:val="24"/>
          <w:szCs w:val="24"/>
        </w:rPr>
      </w:pPr>
      <w:r>
        <w:rPr>
          <w:rFonts w:hint="eastAsia" w:ascii="宋体" w:hAnsi="宋体" w:eastAsia="宋体"/>
          <w:sz w:val="24"/>
          <w:szCs w:val="24"/>
        </w:rPr>
        <w:t>8.依据消防规定叉车充电区不设置在库内</w:t>
      </w:r>
    </w:p>
    <w:p>
      <w:pPr>
        <w:spacing w:line="360" w:lineRule="auto"/>
        <w:rPr>
          <w:rFonts w:ascii="宋体" w:hAnsi="宋体" w:eastAsia="宋体"/>
          <w:sz w:val="24"/>
          <w:szCs w:val="24"/>
        </w:rPr>
      </w:pPr>
      <w:r>
        <w:rPr>
          <w:rFonts w:hint="eastAsia" w:ascii="宋体" w:hAnsi="宋体" w:eastAsia="宋体"/>
          <w:sz w:val="24"/>
          <w:szCs w:val="24"/>
        </w:rPr>
        <w:t>9.飞翼车规格尺寸：</w:t>
      </w:r>
    </w:p>
    <w:p>
      <w:pPr>
        <w:spacing w:line="360" w:lineRule="auto"/>
        <w:rPr>
          <w:rFonts w:ascii="宋体" w:hAnsi="宋体" w:eastAsia="宋体"/>
          <w:sz w:val="24"/>
          <w:szCs w:val="24"/>
        </w:rPr>
      </w:pPr>
      <w:r>
        <w:rPr>
          <w:rFonts w:ascii="宋体" w:hAnsi="宋体" w:eastAsia="宋体"/>
        </w:rPr>
        <w:drawing>
          <wp:inline distT="0" distB="0" distL="0" distR="0">
            <wp:extent cx="5274310" cy="211264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2112645"/>
                    </a:xfrm>
                    <a:prstGeom prst="rect">
                      <a:avLst/>
                    </a:prstGeom>
                    <a:noFill/>
                    <a:ln>
                      <a:noFill/>
                    </a:ln>
                  </pic:spPr>
                </pic:pic>
              </a:graphicData>
            </a:graphic>
          </wp:inline>
        </w:drawing>
      </w:r>
    </w:p>
    <w:p>
      <w:pPr>
        <w:spacing w:line="360" w:lineRule="auto"/>
        <w:rPr>
          <w:rFonts w:ascii="宋体" w:hAnsi="宋体" w:eastAsia="宋体"/>
          <w:sz w:val="24"/>
          <w:szCs w:val="24"/>
        </w:rPr>
      </w:pPr>
      <w:r>
        <w:rPr>
          <w:rFonts w:hint="eastAsia" w:ascii="宋体" w:hAnsi="宋体" w:eastAsia="宋体"/>
          <w:sz w:val="24"/>
          <w:szCs w:val="24"/>
        </w:rPr>
        <w:t>10.4米2厢车厢内尺寸：4.15米*2.1米*2.2米，额定吨位：2500公斤；7米5厢式货车内尺寸：7.4米*2.2米*2.2米，额定吨位5000公斤</w:t>
      </w:r>
    </w:p>
    <w:p>
      <w:pPr>
        <w:spacing w:line="360" w:lineRule="auto"/>
        <w:rPr>
          <w:rFonts w:ascii="宋体" w:hAnsi="宋体" w:eastAsia="宋体"/>
          <w:sz w:val="24"/>
          <w:szCs w:val="24"/>
        </w:rPr>
      </w:pPr>
      <w:r>
        <w:rPr>
          <w:rFonts w:hint="eastAsia" w:ascii="宋体" w:hAnsi="宋体" w:eastAsia="宋体"/>
          <w:sz w:val="24"/>
          <w:szCs w:val="24"/>
        </w:rPr>
        <w:t>11.一个托盘集装单元总高度不允许超过2150mm；</w:t>
      </w: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31BE09"/>
    <w:multiLevelType w:val="singleLevel"/>
    <w:tmpl w:val="D831BE0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3"/>
    <w:rsid w:val="000114D7"/>
    <w:rsid w:val="00042A2D"/>
    <w:rsid w:val="00062F17"/>
    <w:rsid w:val="00066939"/>
    <w:rsid w:val="00081919"/>
    <w:rsid w:val="000B3289"/>
    <w:rsid w:val="000B3F3D"/>
    <w:rsid w:val="000E66CC"/>
    <w:rsid w:val="00100803"/>
    <w:rsid w:val="0012472E"/>
    <w:rsid w:val="00141717"/>
    <w:rsid w:val="00157322"/>
    <w:rsid w:val="001641C3"/>
    <w:rsid w:val="00176E00"/>
    <w:rsid w:val="00180A3D"/>
    <w:rsid w:val="00192D10"/>
    <w:rsid w:val="001940A8"/>
    <w:rsid w:val="001A4B92"/>
    <w:rsid w:val="001C770B"/>
    <w:rsid w:val="001D5743"/>
    <w:rsid w:val="001D6985"/>
    <w:rsid w:val="001E107A"/>
    <w:rsid w:val="001E3A2D"/>
    <w:rsid w:val="001E74DA"/>
    <w:rsid w:val="002071DA"/>
    <w:rsid w:val="00224128"/>
    <w:rsid w:val="00234720"/>
    <w:rsid w:val="00243CAC"/>
    <w:rsid w:val="00244F37"/>
    <w:rsid w:val="00264493"/>
    <w:rsid w:val="002924FD"/>
    <w:rsid w:val="002A0CCE"/>
    <w:rsid w:val="002A4726"/>
    <w:rsid w:val="002A77D7"/>
    <w:rsid w:val="002C4917"/>
    <w:rsid w:val="002C5B66"/>
    <w:rsid w:val="002E2148"/>
    <w:rsid w:val="0030242A"/>
    <w:rsid w:val="0031012A"/>
    <w:rsid w:val="00332BD5"/>
    <w:rsid w:val="00354129"/>
    <w:rsid w:val="003555F9"/>
    <w:rsid w:val="00364474"/>
    <w:rsid w:val="003644E4"/>
    <w:rsid w:val="00367CC9"/>
    <w:rsid w:val="0038193A"/>
    <w:rsid w:val="00394338"/>
    <w:rsid w:val="003D652E"/>
    <w:rsid w:val="003F0EC8"/>
    <w:rsid w:val="003F3F79"/>
    <w:rsid w:val="00403CB5"/>
    <w:rsid w:val="00414352"/>
    <w:rsid w:val="004213D1"/>
    <w:rsid w:val="004270F3"/>
    <w:rsid w:val="00430239"/>
    <w:rsid w:val="00433290"/>
    <w:rsid w:val="00441014"/>
    <w:rsid w:val="00445B5C"/>
    <w:rsid w:val="0047695E"/>
    <w:rsid w:val="004B76E9"/>
    <w:rsid w:val="004C4B70"/>
    <w:rsid w:val="004C636E"/>
    <w:rsid w:val="005104D9"/>
    <w:rsid w:val="00510F82"/>
    <w:rsid w:val="00525E6C"/>
    <w:rsid w:val="0054250E"/>
    <w:rsid w:val="00542DFC"/>
    <w:rsid w:val="00550730"/>
    <w:rsid w:val="0057789B"/>
    <w:rsid w:val="005809CE"/>
    <w:rsid w:val="005A27AA"/>
    <w:rsid w:val="005A4689"/>
    <w:rsid w:val="005B43E0"/>
    <w:rsid w:val="005B59FC"/>
    <w:rsid w:val="005C21F3"/>
    <w:rsid w:val="005C3BC6"/>
    <w:rsid w:val="005E5A37"/>
    <w:rsid w:val="005F5C3F"/>
    <w:rsid w:val="005F6651"/>
    <w:rsid w:val="0061188C"/>
    <w:rsid w:val="00616B3D"/>
    <w:rsid w:val="00617525"/>
    <w:rsid w:val="006215FA"/>
    <w:rsid w:val="00641661"/>
    <w:rsid w:val="00652806"/>
    <w:rsid w:val="006544D8"/>
    <w:rsid w:val="00662710"/>
    <w:rsid w:val="00665DE4"/>
    <w:rsid w:val="006753EA"/>
    <w:rsid w:val="00675C83"/>
    <w:rsid w:val="00687C93"/>
    <w:rsid w:val="00694E55"/>
    <w:rsid w:val="0069708B"/>
    <w:rsid w:val="006A3A85"/>
    <w:rsid w:val="006B622E"/>
    <w:rsid w:val="006C12EC"/>
    <w:rsid w:val="006D0CE8"/>
    <w:rsid w:val="006D28BE"/>
    <w:rsid w:val="006D4A2D"/>
    <w:rsid w:val="00713605"/>
    <w:rsid w:val="00726560"/>
    <w:rsid w:val="00740E76"/>
    <w:rsid w:val="00760B0E"/>
    <w:rsid w:val="007674F8"/>
    <w:rsid w:val="00787487"/>
    <w:rsid w:val="007B1C57"/>
    <w:rsid w:val="007D68A5"/>
    <w:rsid w:val="007D71BF"/>
    <w:rsid w:val="007F1FE6"/>
    <w:rsid w:val="007F44B1"/>
    <w:rsid w:val="00825273"/>
    <w:rsid w:val="00835621"/>
    <w:rsid w:val="0084270B"/>
    <w:rsid w:val="008438C2"/>
    <w:rsid w:val="0086167D"/>
    <w:rsid w:val="00861F3F"/>
    <w:rsid w:val="00863895"/>
    <w:rsid w:val="00870652"/>
    <w:rsid w:val="00870913"/>
    <w:rsid w:val="00883CEC"/>
    <w:rsid w:val="008A186D"/>
    <w:rsid w:val="008A4E8C"/>
    <w:rsid w:val="008A568E"/>
    <w:rsid w:val="008A6B56"/>
    <w:rsid w:val="008D05E9"/>
    <w:rsid w:val="008F4960"/>
    <w:rsid w:val="008F4B2C"/>
    <w:rsid w:val="00903F0E"/>
    <w:rsid w:val="00910866"/>
    <w:rsid w:val="00910F53"/>
    <w:rsid w:val="00911685"/>
    <w:rsid w:val="009321A2"/>
    <w:rsid w:val="00941B93"/>
    <w:rsid w:val="00944D83"/>
    <w:rsid w:val="009737E9"/>
    <w:rsid w:val="009845FB"/>
    <w:rsid w:val="009D4272"/>
    <w:rsid w:val="009D5D73"/>
    <w:rsid w:val="009D6841"/>
    <w:rsid w:val="009E04D1"/>
    <w:rsid w:val="009E78B7"/>
    <w:rsid w:val="009F2158"/>
    <w:rsid w:val="009F485F"/>
    <w:rsid w:val="00A126F0"/>
    <w:rsid w:val="00A15A7F"/>
    <w:rsid w:val="00A2681A"/>
    <w:rsid w:val="00A2769F"/>
    <w:rsid w:val="00A30877"/>
    <w:rsid w:val="00A51015"/>
    <w:rsid w:val="00A523C3"/>
    <w:rsid w:val="00A52EF1"/>
    <w:rsid w:val="00A62571"/>
    <w:rsid w:val="00A74A2B"/>
    <w:rsid w:val="00A83326"/>
    <w:rsid w:val="00AB5C0D"/>
    <w:rsid w:val="00AC08CC"/>
    <w:rsid w:val="00AC1D77"/>
    <w:rsid w:val="00AE7920"/>
    <w:rsid w:val="00B3019F"/>
    <w:rsid w:val="00B41F07"/>
    <w:rsid w:val="00B43B9B"/>
    <w:rsid w:val="00B5064D"/>
    <w:rsid w:val="00B532C5"/>
    <w:rsid w:val="00B54F6E"/>
    <w:rsid w:val="00B86D5E"/>
    <w:rsid w:val="00B873F6"/>
    <w:rsid w:val="00BA7370"/>
    <w:rsid w:val="00BA7B62"/>
    <w:rsid w:val="00BB43DE"/>
    <w:rsid w:val="00BB46E7"/>
    <w:rsid w:val="00BC4BCC"/>
    <w:rsid w:val="00BD10AA"/>
    <w:rsid w:val="00BD1B8C"/>
    <w:rsid w:val="00BD2BD3"/>
    <w:rsid w:val="00BF3A88"/>
    <w:rsid w:val="00C02B1D"/>
    <w:rsid w:val="00C12358"/>
    <w:rsid w:val="00C2634C"/>
    <w:rsid w:val="00C40D46"/>
    <w:rsid w:val="00C50ADC"/>
    <w:rsid w:val="00C614EA"/>
    <w:rsid w:val="00C65593"/>
    <w:rsid w:val="00C730AD"/>
    <w:rsid w:val="00C94D83"/>
    <w:rsid w:val="00CB48DD"/>
    <w:rsid w:val="00CC27FE"/>
    <w:rsid w:val="00CD2E8A"/>
    <w:rsid w:val="00D02BD2"/>
    <w:rsid w:val="00D15562"/>
    <w:rsid w:val="00D3177C"/>
    <w:rsid w:val="00D378C8"/>
    <w:rsid w:val="00D400C3"/>
    <w:rsid w:val="00D54047"/>
    <w:rsid w:val="00D553A9"/>
    <w:rsid w:val="00D60549"/>
    <w:rsid w:val="00D647AD"/>
    <w:rsid w:val="00D73F04"/>
    <w:rsid w:val="00DD32F1"/>
    <w:rsid w:val="00DD33EE"/>
    <w:rsid w:val="00DD5920"/>
    <w:rsid w:val="00DF12FC"/>
    <w:rsid w:val="00E04D96"/>
    <w:rsid w:val="00E23CCB"/>
    <w:rsid w:val="00E25DC9"/>
    <w:rsid w:val="00E33170"/>
    <w:rsid w:val="00E50CBC"/>
    <w:rsid w:val="00E67D21"/>
    <w:rsid w:val="00E71A5F"/>
    <w:rsid w:val="00E75B37"/>
    <w:rsid w:val="00EA3F5A"/>
    <w:rsid w:val="00EB0136"/>
    <w:rsid w:val="00EE0F40"/>
    <w:rsid w:val="00EE239F"/>
    <w:rsid w:val="00EF234D"/>
    <w:rsid w:val="00F22A71"/>
    <w:rsid w:val="00F2343E"/>
    <w:rsid w:val="00F34DB2"/>
    <w:rsid w:val="00F5306F"/>
    <w:rsid w:val="00F55080"/>
    <w:rsid w:val="00F5779D"/>
    <w:rsid w:val="00F624EB"/>
    <w:rsid w:val="00F6795A"/>
    <w:rsid w:val="00F709C2"/>
    <w:rsid w:val="00F73433"/>
    <w:rsid w:val="00F81C3D"/>
    <w:rsid w:val="00FA62A6"/>
    <w:rsid w:val="00FB2799"/>
    <w:rsid w:val="00FB4221"/>
    <w:rsid w:val="00FC1200"/>
    <w:rsid w:val="00FD76FE"/>
    <w:rsid w:val="00FE6E64"/>
    <w:rsid w:val="00FE7FF9"/>
    <w:rsid w:val="00FF2AEF"/>
    <w:rsid w:val="0EDA1F20"/>
    <w:rsid w:val="16EB503D"/>
    <w:rsid w:val="2179320A"/>
    <w:rsid w:val="35BD5251"/>
    <w:rsid w:val="448E42A1"/>
    <w:rsid w:val="4FA16164"/>
    <w:rsid w:val="72A20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438</Words>
  <Characters>2501</Characters>
  <Lines>20</Lines>
  <Paragraphs>5</Paragraphs>
  <TotalTime>80</TotalTime>
  <ScaleCrop>false</ScaleCrop>
  <LinksUpToDate>false</LinksUpToDate>
  <CharactersWithSpaces>2934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2021-03-22T11:05:00Z</dcterms:created>
  <dc:creator>wxk</dc:creator>
  <cp:lastModifiedBy>嘻嘻哈哈</cp:lastModifiedBy>
  <dcterms:modified xsi:type="dcterms:W3CDTF">2021-12-05T09:59:15Z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27825E399BCE499E972FFD9E28C4B558</vt:lpwstr>
  </property>
</Properties>
</file>