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仓库布局设计与设备仿真搭建</w:t>
      </w:r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>1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某电商公司计划在A市建设一个R</w:t>
      </w:r>
      <w:r>
        <w:rPr>
          <w:rFonts w:ascii="宋体" w:hAnsi="宋体" w:eastAsia="宋体"/>
          <w:sz w:val="24"/>
          <w:szCs w:val="24"/>
        </w:rPr>
        <w:t>DC</w:t>
      </w:r>
      <w:r>
        <w:rPr>
          <w:rFonts w:hint="eastAsia" w:ascii="宋体" w:hAnsi="宋体" w:eastAsia="宋体"/>
          <w:sz w:val="24"/>
          <w:szCs w:val="24"/>
        </w:rPr>
        <w:t>，用于辐射周边地区</w:t>
      </w: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>个F</w:t>
      </w:r>
      <w:r>
        <w:rPr>
          <w:rFonts w:ascii="宋体" w:hAnsi="宋体" w:eastAsia="宋体"/>
          <w:sz w:val="24"/>
          <w:szCs w:val="24"/>
        </w:rPr>
        <w:t>DC</w:t>
      </w:r>
      <w:r>
        <w:rPr>
          <w:rFonts w:hint="eastAsia" w:ascii="宋体" w:hAnsi="宋体" w:eastAsia="宋体"/>
          <w:sz w:val="24"/>
          <w:szCs w:val="24"/>
        </w:rPr>
        <w:t>，并向F</w:t>
      </w:r>
      <w:r>
        <w:rPr>
          <w:rFonts w:ascii="宋体" w:hAnsi="宋体" w:eastAsia="宋体"/>
          <w:sz w:val="24"/>
          <w:szCs w:val="24"/>
        </w:rPr>
        <w:t>DC</w:t>
      </w:r>
      <w:r>
        <w:rPr>
          <w:rFonts w:hint="eastAsia" w:ascii="宋体" w:hAnsi="宋体" w:eastAsia="宋体"/>
          <w:sz w:val="24"/>
          <w:szCs w:val="24"/>
        </w:rPr>
        <w:t>约定每个S</w:t>
      </w:r>
      <w:r>
        <w:rPr>
          <w:rFonts w:ascii="宋体" w:hAnsi="宋体" w:eastAsia="宋体"/>
          <w:sz w:val="24"/>
          <w:szCs w:val="24"/>
        </w:rPr>
        <w:t>KU</w:t>
      </w:r>
      <w:r>
        <w:rPr>
          <w:rFonts w:hint="eastAsia" w:ascii="宋体" w:hAnsi="宋体" w:eastAsia="宋体"/>
          <w:sz w:val="24"/>
          <w:szCs w:val="24"/>
        </w:rPr>
        <w:t>的订货量以“托”为单位，供应商送货用1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米5飞翼车，向F</w:t>
      </w:r>
      <w:r>
        <w:rPr>
          <w:rFonts w:ascii="宋体" w:hAnsi="宋体" w:eastAsia="宋体"/>
          <w:sz w:val="24"/>
          <w:szCs w:val="24"/>
        </w:rPr>
        <w:t>DC</w:t>
      </w:r>
      <w:r>
        <w:rPr>
          <w:rFonts w:hint="eastAsia" w:ascii="宋体" w:hAnsi="宋体" w:eastAsia="宋体"/>
          <w:sz w:val="24"/>
          <w:szCs w:val="24"/>
        </w:rPr>
        <w:t>配送用7米5飞翼车。公司租赁了一个3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2</w:t>
      </w:r>
      <w:r>
        <w:rPr>
          <w:rFonts w:ascii="宋体" w:hAnsi="宋体" w:eastAsia="宋体"/>
          <w:sz w:val="24"/>
          <w:szCs w:val="24"/>
        </w:rPr>
        <w:t>00</w:t>
      </w:r>
      <w:r>
        <w:rPr>
          <w:rFonts w:hint="eastAsia" w:ascii="宋体" w:hAnsi="宋体" w:eastAsia="宋体"/>
          <w:sz w:val="24"/>
          <w:szCs w:val="24"/>
        </w:rPr>
        <w:t>平米的库，平面规格为：库长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80</w:t>
      </w:r>
      <w:r>
        <w:rPr>
          <w:rFonts w:hint="eastAsia" w:ascii="宋体" w:hAnsi="宋体" w:eastAsia="宋体"/>
          <w:sz w:val="24"/>
          <w:szCs w:val="24"/>
        </w:rPr>
        <w:t>米，库宽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40</w:t>
      </w:r>
      <w:r>
        <w:rPr>
          <w:rFonts w:hint="eastAsia" w:ascii="宋体" w:hAnsi="宋体" w:eastAsia="宋体"/>
          <w:sz w:val="24"/>
          <w:szCs w:val="24"/>
        </w:rPr>
        <w:t>米，库高7</w:t>
      </w:r>
      <w:r>
        <w:rPr>
          <w:rFonts w:ascii="宋体" w:hAnsi="宋体" w:eastAsia="宋体"/>
          <w:sz w:val="24"/>
          <w:szCs w:val="24"/>
        </w:rPr>
        <w:t>.5</w:t>
      </w:r>
      <w:r>
        <w:rPr>
          <w:rFonts w:hint="eastAsia" w:ascii="宋体" w:hAnsi="宋体" w:eastAsia="宋体"/>
          <w:sz w:val="24"/>
          <w:szCs w:val="24"/>
        </w:rPr>
        <w:t>米，库内无立柱。仓库建成后计划处理的货物信息如下表，请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同学</w:t>
      </w:r>
      <w:r>
        <w:rPr>
          <w:rFonts w:hint="eastAsia" w:ascii="宋体" w:hAnsi="宋体" w:eastAsia="宋体"/>
          <w:sz w:val="24"/>
          <w:szCs w:val="24"/>
        </w:rPr>
        <w:t>们利用所学专业知识结合所给定的信息对该仓库实施仿真布局、设备搭建成型。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计划处理的货物信息表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2122"/>
        <w:gridCol w:w="2092"/>
        <w:gridCol w:w="2092"/>
        <w:gridCol w:w="1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货物编码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货物包装尺寸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（长*宽*高）m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运输包装尺寸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（长*宽*高）m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内包装个数（件）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KBC36LU6210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KBC36LU6211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75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KBC36LU6212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KBC36LU6213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KBC36LU6214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95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KBC36LU6215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KBC36LU6216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185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KBC36LU6217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KBC36LU6218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KBC36LU6219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138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92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KBC36LU6220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75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KBC36LU6221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KBC36LU6222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KBC36LU6223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95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KBC36LU6224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185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KBC36LU6225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KBC36LU6226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</w:tr>
    </w:tbl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备注：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</w:t>
      </w:r>
      <w:r>
        <w:rPr>
          <w:rFonts w:hint="eastAsia" w:ascii="宋体" w:hAnsi="宋体" w:eastAsia="宋体"/>
          <w:sz w:val="24"/>
          <w:szCs w:val="24"/>
        </w:rPr>
        <w:t>每个产品又分为A、</w:t>
      </w:r>
      <w:r>
        <w:rPr>
          <w:rFonts w:ascii="宋体" w:hAnsi="宋体" w:eastAsia="宋体"/>
          <w:sz w:val="24"/>
          <w:szCs w:val="24"/>
        </w:rPr>
        <w:t>B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C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D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E</w:t>
      </w:r>
      <w:r>
        <w:rPr>
          <w:rFonts w:hint="eastAsia" w:ascii="宋体" w:hAnsi="宋体" w:eastAsia="宋体"/>
          <w:sz w:val="24"/>
          <w:szCs w:val="24"/>
        </w:rPr>
        <w:t>共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/>
          <w:sz w:val="24"/>
          <w:szCs w:val="24"/>
        </w:rPr>
        <w:t>个规格，共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00</w:t>
      </w:r>
      <w:r>
        <w:rPr>
          <w:rFonts w:hint="eastAsia" w:ascii="宋体" w:hAnsi="宋体" w:eastAsia="宋体"/>
          <w:sz w:val="24"/>
          <w:szCs w:val="24"/>
        </w:rPr>
        <w:t>个S</w:t>
      </w:r>
      <w:r>
        <w:rPr>
          <w:rFonts w:ascii="宋体" w:hAnsi="宋体" w:eastAsia="宋体"/>
          <w:sz w:val="24"/>
          <w:szCs w:val="24"/>
        </w:rPr>
        <w:t>KU</w:t>
      </w:r>
      <w:r>
        <w:rPr>
          <w:rFonts w:hint="eastAsia" w:ascii="宋体" w:hAnsi="宋体" w:eastAsia="宋体"/>
          <w:sz w:val="24"/>
          <w:szCs w:val="24"/>
        </w:rPr>
        <w:t>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</w:t>
      </w:r>
      <w:r>
        <w:rPr>
          <w:rFonts w:hint="eastAsia" w:ascii="宋体" w:hAnsi="宋体" w:eastAsia="宋体"/>
          <w:sz w:val="24"/>
          <w:szCs w:val="24"/>
        </w:rPr>
        <w:t>各S</w:t>
      </w:r>
      <w:r>
        <w:rPr>
          <w:rFonts w:ascii="宋体" w:hAnsi="宋体" w:eastAsia="宋体"/>
          <w:sz w:val="24"/>
          <w:szCs w:val="24"/>
        </w:rPr>
        <w:t>KU</w:t>
      </w:r>
      <w:r>
        <w:rPr>
          <w:rFonts w:hint="eastAsia" w:ascii="宋体" w:hAnsi="宋体" w:eastAsia="宋体"/>
          <w:sz w:val="24"/>
          <w:szCs w:val="24"/>
        </w:rPr>
        <w:t>的平均在库存储量预计为：2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%的S</w:t>
      </w:r>
      <w:r>
        <w:rPr>
          <w:rFonts w:ascii="宋体" w:hAnsi="宋体" w:eastAsia="宋体"/>
          <w:sz w:val="24"/>
          <w:szCs w:val="24"/>
        </w:rPr>
        <w:t>KU</w:t>
      </w:r>
      <w:r>
        <w:rPr>
          <w:rFonts w:hint="eastAsia" w:ascii="宋体" w:hAnsi="宋体" w:eastAsia="宋体"/>
          <w:sz w:val="24"/>
          <w:szCs w:val="24"/>
        </w:rPr>
        <w:t>在库存储量为</w:t>
      </w:r>
      <w:r>
        <w:rPr>
          <w:rFonts w:ascii="宋体" w:hAnsi="宋体" w:eastAsia="宋体"/>
          <w:sz w:val="24"/>
          <w:szCs w:val="24"/>
        </w:rPr>
        <w:t>25</w:t>
      </w:r>
      <w:r>
        <w:rPr>
          <w:rFonts w:hint="eastAsia" w:ascii="宋体" w:hAnsi="宋体" w:eastAsia="宋体"/>
          <w:sz w:val="24"/>
          <w:szCs w:val="24"/>
        </w:rPr>
        <w:t>-</w:t>
      </w:r>
      <w:r>
        <w:rPr>
          <w:rFonts w:ascii="宋体" w:hAnsi="宋体" w:eastAsia="宋体"/>
          <w:sz w:val="24"/>
          <w:szCs w:val="24"/>
        </w:rPr>
        <w:t>50</w:t>
      </w:r>
      <w:r>
        <w:rPr>
          <w:rFonts w:hint="eastAsia" w:ascii="宋体" w:hAnsi="宋体" w:eastAsia="宋体"/>
          <w:sz w:val="24"/>
          <w:szCs w:val="24"/>
        </w:rPr>
        <w:t>个托盘左右，3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%的S</w:t>
      </w:r>
      <w:r>
        <w:rPr>
          <w:rFonts w:ascii="宋体" w:hAnsi="宋体" w:eastAsia="宋体"/>
          <w:sz w:val="24"/>
          <w:szCs w:val="24"/>
        </w:rPr>
        <w:t>KU</w:t>
      </w:r>
      <w:r>
        <w:rPr>
          <w:rFonts w:hint="eastAsia" w:ascii="宋体" w:hAnsi="宋体" w:eastAsia="宋体"/>
          <w:sz w:val="24"/>
          <w:szCs w:val="24"/>
        </w:rPr>
        <w:t>在库存储量为</w:t>
      </w:r>
      <w:r>
        <w:rPr>
          <w:rFonts w:ascii="宋体" w:hAnsi="宋体" w:eastAsia="宋体"/>
          <w:sz w:val="24"/>
          <w:szCs w:val="24"/>
        </w:rPr>
        <w:t>10</w:t>
      </w:r>
      <w:r>
        <w:rPr>
          <w:rFonts w:hint="eastAsia" w:ascii="宋体" w:hAnsi="宋体" w:eastAsia="宋体"/>
          <w:sz w:val="24"/>
          <w:szCs w:val="24"/>
        </w:rPr>
        <w:t>-</w:t>
      </w:r>
      <w:r>
        <w:rPr>
          <w:rFonts w:ascii="宋体" w:hAnsi="宋体" w:eastAsia="宋体"/>
          <w:sz w:val="24"/>
          <w:szCs w:val="24"/>
        </w:rPr>
        <w:t>25</w:t>
      </w:r>
      <w:r>
        <w:rPr>
          <w:rFonts w:hint="eastAsia" w:ascii="宋体" w:hAnsi="宋体" w:eastAsia="宋体"/>
          <w:sz w:val="24"/>
          <w:szCs w:val="24"/>
        </w:rPr>
        <w:t>个托盘左右，其余的S</w:t>
      </w:r>
      <w:r>
        <w:rPr>
          <w:rFonts w:ascii="宋体" w:hAnsi="宋体" w:eastAsia="宋体"/>
          <w:sz w:val="24"/>
          <w:szCs w:val="24"/>
        </w:rPr>
        <w:t>KU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4"/>
        </w:rPr>
        <w:t>在库存储量为1-</w:t>
      </w:r>
      <w:r>
        <w:rPr>
          <w:rFonts w:ascii="宋体" w:hAnsi="宋体" w:eastAsia="宋体"/>
          <w:sz w:val="24"/>
          <w:szCs w:val="24"/>
        </w:rPr>
        <w:t>10</w:t>
      </w:r>
      <w:r>
        <w:rPr>
          <w:rFonts w:hint="eastAsia" w:ascii="宋体" w:hAnsi="宋体" w:eastAsia="宋体"/>
          <w:sz w:val="24"/>
          <w:szCs w:val="24"/>
        </w:rPr>
        <w:t>个托盘左右，整体库存平均周转周期约为1周；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ascii="宋体" w:hAnsi="宋体" w:eastAsia="宋体"/>
          <w:sz w:val="24"/>
          <w:szCs w:val="24"/>
        </w:rPr>
        <w:t>3.RDC</w:t>
      </w:r>
      <w:r>
        <w:rPr>
          <w:rFonts w:hint="eastAsia" w:ascii="宋体" w:hAnsi="宋体" w:eastAsia="宋体"/>
          <w:sz w:val="24"/>
          <w:szCs w:val="24"/>
        </w:rPr>
        <w:t>要求供应商必须带板（托盘）送货，使用1</w:t>
      </w:r>
      <w:r>
        <w:rPr>
          <w:rFonts w:ascii="宋体" w:hAnsi="宋体" w:eastAsia="宋体"/>
          <w:sz w:val="24"/>
          <w:szCs w:val="24"/>
        </w:rPr>
        <w:t>200</w:t>
      </w:r>
      <w:r>
        <w:rPr>
          <w:rFonts w:hint="eastAsia" w:ascii="宋体" w:hAnsi="宋体" w:eastAsia="宋体"/>
          <w:sz w:val="24"/>
          <w:szCs w:val="24"/>
        </w:rPr>
        <w:t>*</w:t>
      </w:r>
      <w:r>
        <w:rPr>
          <w:rFonts w:ascii="宋体" w:hAnsi="宋体" w:eastAsia="宋体"/>
          <w:sz w:val="24"/>
          <w:szCs w:val="24"/>
        </w:rPr>
        <w:t>1000</w:t>
      </w:r>
      <w:r>
        <w:rPr>
          <w:rFonts w:hint="eastAsia" w:ascii="宋体" w:hAnsi="宋体" w:eastAsia="宋体"/>
          <w:sz w:val="24"/>
          <w:szCs w:val="24"/>
        </w:rPr>
        <w:t>*</w:t>
      </w:r>
      <w:r>
        <w:rPr>
          <w:rFonts w:ascii="宋体" w:hAnsi="宋体" w:eastAsia="宋体"/>
          <w:sz w:val="24"/>
          <w:szCs w:val="24"/>
        </w:rPr>
        <w:t>150mm</w:t>
      </w:r>
      <w:r>
        <w:rPr>
          <w:rFonts w:hint="eastAsia" w:ascii="宋体" w:hAnsi="宋体" w:eastAsia="宋体"/>
          <w:sz w:val="24"/>
          <w:szCs w:val="24"/>
        </w:rPr>
        <w:t>的木制标准托盘，托货总高度限制在1</w:t>
      </w:r>
      <w:r>
        <w:rPr>
          <w:rFonts w:ascii="宋体" w:hAnsi="宋体" w:eastAsia="宋体"/>
          <w:sz w:val="24"/>
          <w:szCs w:val="24"/>
        </w:rPr>
        <w:t>200mm</w:t>
      </w:r>
      <w:r>
        <w:rPr>
          <w:rFonts w:hint="eastAsia" w:ascii="宋体" w:hAnsi="宋体" w:eastAsia="宋体"/>
          <w:sz w:val="24"/>
          <w:szCs w:val="24"/>
        </w:rPr>
        <w:t>以内</w:t>
      </w:r>
      <w:r>
        <w:rPr>
          <w:rFonts w:hint="eastAsia" w:ascii="宋体" w:hAnsi="宋体" w:eastAsia="宋体"/>
          <w:sz w:val="24"/>
          <w:szCs w:val="24"/>
          <w:lang w:eastAsia="zh-CN"/>
        </w:rPr>
        <w:t>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三、任务要求：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根据以上信息在相应的设备上完成该仓库布局和设备搭建，在能够满足上述业务需求的基础上要充分考虑效率、成本及安全问题；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</w:t>
      </w:r>
      <w:r>
        <w:rPr>
          <w:rFonts w:hint="eastAsia" w:ascii="宋体" w:hAnsi="宋体" w:eastAsia="宋体"/>
          <w:sz w:val="24"/>
          <w:szCs w:val="24"/>
        </w:rPr>
        <w:t>撰写本小组仓库布局与设备搭建设计报告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设计报告内容应包括但不限于以下内容：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（1）对给定物流业务背景的理解；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（2）功能区整体布局</w:t>
      </w:r>
      <w:r>
        <w:rPr>
          <w:rFonts w:hint="eastAsia" w:ascii="宋体" w:hAnsi="宋体" w:eastAsia="宋体"/>
          <w:b/>
          <w:bCs/>
          <w:sz w:val="24"/>
          <w:szCs w:val="24"/>
        </w:rPr>
        <w:t>图</w:t>
      </w:r>
      <w:r>
        <w:rPr>
          <w:rFonts w:hint="eastAsia" w:ascii="宋体" w:hAnsi="宋体" w:eastAsia="宋体"/>
          <w:sz w:val="24"/>
          <w:szCs w:val="24"/>
        </w:rPr>
        <w:t>和各功能区面积及面积比重</w:t>
      </w:r>
      <w:r>
        <w:rPr>
          <w:rFonts w:hint="eastAsia" w:ascii="宋体" w:hAnsi="宋体" w:eastAsia="宋体"/>
          <w:b/>
          <w:bCs/>
          <w:sz w:val="24"/>
          <w:szCs w:val="24"/>
        </w:rPr>
        <w:t>表</w:t>
      </w:r>
      <w:r>
        <w:rPr>
          <w:rFonts w:hint="eastAsia" w:ascii="宋体" w:hAnsi="宋体" w:eastAsia="宋体"/>
          <w:sz w:val="24"/>
          <w:szCs w:val="24"/>
        </w:rPr>
        <w:t>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（3）对仓库地坪和墙体的选择理由；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（4）对仓库动线类型的描述分析；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（5）对功能区的面积（长、宽）、位置设定做出说明；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（6）功能区布局与设备搭建成型效果图；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（7）阐述各类设备选型和数量设定的理由；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（8）综合描述设计完成后的仓库作业流程（含货位使用优化描述）。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报告撰写要求：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（1）要有封面，需注明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实验小组</w:t>
      </w:r>
      <w:r>
        <w:rPr>
          <w:rFonts w:hint="eastAsia" w:ascii="宋体" w:hAnsi="宋体" w:eastAsia="宋体"/>
          <w:sz w:val="24"/>
          <w:szCs w:val="24"/>
        </w:rPr>
        <w:t>，正文要有报告题目（三号黑体），一级标题为四号黑体，其余部分为小四宋体，正文段落首行缩进，1</w:t>
      </w:r>
      <w:r>
        <w:rPr>
          <w:rFonts w:ascii="宋体" w:hAnsi="宋体" w:eastAsia="宋体"/>
          <w:sz w:val="24"/>
          <w:szCs w:val="24"/>
        </w:rPr>
        <w:t>.5</w:t>
      </w:r>
      <w:r>
        <w:rPr>
          <w:rFonts w:hint="eastAsia" w:ascii="宋体" w:hAnsi="宋体" w:eastAsia="宋体"/>
          <w:sz w:val="24"/>
          <w:szCs w:val="24"/>
        </w:rPr>
        <w:t>倍行距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（2）排版工整、图文并茂、内容能够充分体现现代物流与供应链的管理思想以及精益管理理念</w:t>
      </w:r>
    </w:p>
    <w:p>
      <w:pPr>
        <w:jc w:val="center"/>
        <w:rPr>
          <w:rFonts w:hint="eastAsia" w:ascii="宋体" w:hAnsi="宋体" w:eastAsia="宋体"/>
          <w:b/>
          <w:bCs/>
          <w:sz w:val="28"/>
          <w:szCs w:val="28"/>
        </w:rPr>
      </w:pPr>
    </w:p>
    <w:p>
      <w:pPr>
        <w:jc w:val="center"/>
        <w:rPr>
          <w:rFonts w:hint="eastAsia" w:ascii="宋体" w:hAnsi="宋体" w:eastAsia="宋体"/>
          <w:b/>
          <w:bCs/>
          <w:sz w:val="28"/>
          <w:szCs w:val="28"/>
        </w:rPr>
      </w:pPr>
    </w:p>
    <w:p>
      <w:pPr>
        <w:jc w:val="center"/>
        <w:rPr>
          <w:rFonts w:hint="eastAsia" w:ascii="宋体" w:hAnsi="宋体" w:eastAsia="宋体"/>
          <w:b/>
          <w:bCs/>
          <w:sz w:val="28"/>
          <w:szCs w:val="28"/>
        </w:rPr>
      </w:pPr>
    </w:p>
    <w:p>
      <w:pPr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操作说明</w:t>
      </w:r>
    </w:p>
    <w:p>
      <w:pPr>
        <w:spacing w:line="360" w:lineRule="auto"/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1.配重式叉车、电动托盘车、前移式叉车配置数量依据是：库存月周转次数为2时，各1台/2000平米，月库存周转次数每增加1次，配置数量翻倍，且前移式叉车上下架效率低于配重式叉车卸车的效率，可酌情增加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2.托盘为标准木质平托盘，规格尺寸：1200*1000*150MM，托盘、物料箱（尺寸自定）、PDA等数量无需配置，数量不受限制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3.托盘货架、驶入式货架、穿梭车货架、立体库货架平均每货位材质重量约为60公斤，各货架横梁高度均按120mm计，料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箱</w:t>
      </w:r>
      <w:r>
        <w:rPr>
          <w:rFonts w:hint="eastAsia" w:ascii="宋体" w:hAnsi="宋体" w:eastAsia="宋体"/>
          <w:sz w:val="24"/>
          <w:szCs w:val="24"/>
        </w:rPr>
        <w:t>机器人货架、电子标签拣选货架横梁高度为60mm，叉车上下架所需作业空间（货架内）大于等于100mm即可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4.所有货物码托后，最大托货总重不超过360公斤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5.仓库“五距”仅考虑顶距即可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6.月台计入仓库面积内，地坪荷载请按整数设置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7.所有叉车货叉提升高度均默认满足需求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8.依据消防规定叉车充电区不设置在库内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9.飞翼车规格尺寸：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</w:rPr>
        <w:drawing>
          <wp:inline distT="0" distB="0" distL="0" distR="0">
            <wp:extent cx="5274310" cy="2112645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1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10.4米2厢车厢内尺寸：4.15米*2.1米*2.2米，额定吨位：2500公斤；7米5厢式货车内尺寸：7.4米*2.2米*2.2米，额定吨位5000公斤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11.一个托盘集装单元总高度不允许超过2150mm</w:t>
      </w:r>
      <w:r>
        <w:rPr>
          <w:rFonts w:hint="eastAsia" w:ascii="宋体" w:hAnsi="宋体" w:eastAsia="宋体"/>
          <w:sz w:val="24"/>
          <w:szCs w:val="24"/>
          <w:lang w:eastAsia="zh-CN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rPr>
        <w:rFonts w:hint="default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1F3"/>
    <w:rsid w:val="000114D7"/>
    <w:rsid w:val="00042A2D"/>
    <w:rsid w:val="00062F17"/>
    <w:rsid w:val="00066939"/>
    <w:rsid w:val="00081919"/>
    <w:rsid w:val="000B3289"/>
    <w:rsid w:val="000B3F3D"/>
    <w:rsid w:val="000E66CC"/>
    <w:rsid w:val="00100803"/>
    <w:rsid w:val="00141717"/>
    <w:rsid w:val="00157322"/>
    <w:rsid w:val="001641C3"/>
    <w:rsid w:val="00176E00"/>
    <w:rsid w:val="00180A3D"/>
    <w:rsid w:val="00192D10"/>
    <w:rsid w:val="001940A8"/>
    <w:rsid w:val="001A4B92"/>
    <w:rsid w:val="001C770B"/>
    <w:rsid w:val="001D5743"/>
    <w:rsid w:val="001D6985"/>
    <w:rsid w:val="001E107A"/>
    <w:rsid w:val="001E3A2D"/>
    <w:rsid w:val="001E74DA"/>
    <w:rsid w:val="002071DA"/>
    <w:rsid w:val="00224128"/>
    <w:rsid w:val="00234720"/>
    <w:rsid w:val="00243CAC"/>
    <w:rsid w:val="00244F37"/>
    <w:rsid w:val="00264493"/>
    <w:rsid w:val="002924FD"/>
    <w:rsid w:val="002A0CCE"/>
    <w:rsid w:val="002A4726"/>
    <w:rsid w:val="002A77D7"/>
    <w:rsid w:val="002C4917"/>
    <w:rsid w:val="002C5B66"/>
    <w:rsid w:val="002E2148"/>
    <w:rsid w:val="0031012A"/>
    <w:rsid w:val="00332BD5"/>
    <w:rsid w:val="00354129"/>
    <w:rsid w:val="003555F9"/>
    <w:rsid w:val="003644E4"/>
    <w:rsid w:val="00367CC9"/>
    <w:rsid w:val="0038193A"/>
    <w:rsid w:val="00394338"/>
    <w:rsid w:val="003D652E"/>
    <w:rsid w:val="003F0EC8"/>
    <w:rsid w:val="003F3F79"/>
    <w:rsid w:val="00403CB5"/>
    <w:rsid w:val="00414352"/>
    <w:rsid w:val="004213D1"/>
    <w:rsid w:val="004270F3"/>
    <w:rsid w:val="00430239"/>
    <w:rsid w:val="00433290"/>
    <w:rsid w:val="00441014"/>
    <w:rsid w:val="00445B5C"/>
    <w:rsid w:val="0047695E"/>
    <w:rsid w:val="004B76E9"/>
    <w:rsid w:val="004C4B70"/>
    <w:rsid w:val="004C636E"/>
    <w:rsid w:val="005104D9"/>
    <w:rsid w:val="00510F82"/>
    <w:rsid w:val="00525E6C"/>
    <w:rsid w:val="0054250E"/>
    <w:rsid w:val="00542DFC"/>
    <w:rsid w:val="00550730"/>
    <w:rsid w:val="0057789B"/>
    <w:rsid w:val="005809CE"/>
    <w:rsid w:val="005A27AA"/>
    <w:rsid w:val="005A4689"/>
    <w:rsid w:val="005B43E0"/>
    <w:rsid w:val="005B59FC"/>
    <w:rsid w:val="005C21F3"/>
    <w:rsid w:val="005C3BC6"/>
    <w:rsid w:val="005E5A37"/>
    <w:rsid w:val="005F5C3F"/>
    <w:rsid w:val="005F6651"/>
    <w:rsid w:val="0061188C"/>
    <w:rsid w:val="00616B3D"/>
    <w:rsid w:val="00617525"/>
    <w:rsid w:val="006215FA"/>
    <w:rsid w:val="00641661"/>
    <w:rsid w:val="00652806"/>
    <w:rsid w:val="006544D8"/>
    <w:rsid w:val="00662710"/>
    <w:rsid w:val="00665DE4"/>
    <w:rsid w:val="006753EA"/>
    <w:rsid w:val="00675C83"/>
    <w:rsid w:val="00687C93"/>
    <w:rsid w:val="00694E55"/>
    <w:rsid w:val="0069708B"/>
    <w:rsid w:val="006A3A85"/>
    <w:rsid w:val="006B622E"/>
    <w:rsid w:val="006C12EC"/>
    <w:rsid w:val="006D0CE8"/>
    <w:rsid w:val="006D28BE"/>
    <w:rsid w:val="006D4A2D"/>
    <w:rsid w:val="00713605"/>
    <w:rsid w:val="00726560"/>
    <w:rsid w:val="00740E76"/>
    <w:rsid w:val="00760B0E"/>
    <w:rsid w:val="007674F8"/>
    <w:rsid w:val="007B1C57"/>
    <w:rsid w:val="007D68A5"/>
    <w:rsid w:val="007D71BF"/>
    <w:rsid w:val="007F1FE6"/>
    <w:rsid w:val="007F44B1"/>
    <w:rsid w:val="00825273"/>
    <w:rsid w:val="0084270B"/>
    <w:rsid w:val="008438C2"/>
    <w:rsid w:val="00861F3F"/>
    <w:rsid w:val="00863895"/>
    <w:rsid w:val="00870652"/>
    <w:rsid w:val="00870913"/>
    <w:rsid w:val="00883CEC"/>
    <w:rsid w:val="008A186D"/>
    <w:rsid w:val="008A4E8C"/>
    <w:rsid w:val="008A568E"/>
    <w:rsid w:val="008A6B56"/>
    <w:rsid w:val="008D05E9"/>
    <w:rsid w:val="008F4960"/>
    <w:rsid w:val="008F4B2C"/>
    <w:rsid w:val="00903F0E"/>
    <w:rsid w:val="00910866"/>
    <w:rsid w:val="00911685"/>
    <w:rsid w:val="00941B93"/>
    <w:rsid w:val="00944D83"/>
    <w:rsid w:val="009737E9"/>
    <w:rsid w:val="009845FB"/>
    <w:rsid w:val="009D4272"/>
    <w:rsid w:val="009D5D73"/>
    <w:rsid w:val="009D6841"/>
    <w:rsid w:val="009E04D1"/>
    <w:rsid w:val="009E78B7"/>
    <w:rsid w:val="009F2158"/>
    <w:rsid w:val="009F485F"/>
    <w:rsid w:val="00A126F0"/>
    <w:rsid w:val="00A15A7F"/>
    <w:rsid w:val="00A2681A"/>
    <w:rsid w:val="00A2769F"/>
    <w:rsid w:val="00A30877"/>
    <w:rsid w:val="00A51015"/>
    <w:rsid w:val="00A523C3"/>
    <w:rsid w:val="00A62571"/>
    <w:rsid w:val="00A74A2B"/>
    <w:rsid w:val="00A83326"/>
    <w:rsid w:val="00AB5C0D"/>
    <w:rsid w:val="00AC08CC"/>
    <w:rsid w:val="00AC1D77"/>
    <w:rsid w:val="00AE7920"/>
    <w:rsid w:val="00B3019F"/>
    <w:rsid w:val="00B41F07"/>
    <w:rsid w:val="00B43B9B"/>
    <w:rsid w:val="00B532C5"/>
    <w:rsid w:val="00B54F6E"/>
    <w:rsid w:val="00B86D5E"/>
    <w:rsid w:val="00B873F6"/>
    <w:rsid w:val="00BA7370"/>
    <w:rsid w:val="00BA7B62"/>
    <w:rsid w:val="00BB43DE"/>
    <w:rsid w:val="00BC4BCC"/>
    <w:rsid w:val="00BD10AA"/>
    <w:rsid w:val="00BD1B8C"/>
    <w:rsid w:val="00BD2BD3"/>
    <w:rsid w:val="00BF3A88"/>
    <w:rsid w:val="00C02B1D"/>
    <w:rsid w:val="00C12358"/>
    <w:rsid w:val="00C2634C"/>
    <w:rsid w:val="00C40D46"/>
    <w:rsid w:val="00C50ADC"/>
    <w:rsid w:val="00C614EA"/>
    <w:rsid w:val="00C65593"/>
    <w:rsid w:val="00C730AD"/>
    <w:rsid w:val="00CB48DD"/>
    <w:rsid w:val="00CC27FE"/>
    <w:rsid w:val="00D02BD2"/>
    <w:rsid w:val="00D15562"/>
    <w:rsid w:val="00D3177C"/>
    <w:rsid w:val="00D378C8"/>
    <w:rsid w:val="00D400C3"/>
    <w:rsid w:val="00D54047"/>
    <w:rsid w:val="00D553A9"/>
    <w:rsid w:val="00D60549"/>
    <w:rsid w:val="00D647AD"/>
    <w:rsid w:val="00D73F04"/>
    <w:rsid w:val="00DD32F1"/>
    <w:rsid w:val="00DF12FC"/>
    <w:rsid w:val="00E23CCB"/>
    <w:rsid w:val="00E25DC9"/>
    <w:rsid w:val="00E33170"/>
    <w:rsid w:val="00E50CBC"/>
    <w:rsid w:val="00E67D21"/>
    <w:rsid w:val="00E71A5F"/>
    <w:rsid w:val="00E75B37"/>
    <w:rsid w:val="00EA3F5A"/>
    <w:rsid w:val="00EB0136"/>
    <w:rsid w:val="00EE0F40"/>
    <w:rsid w:val="00EE239F"/>
    <w:rsid w:val="00F22A71"/>
    <w:rsid w:val="00F2343E"/>
    <w:rsid w:val="00F34DB2"/>
    <w:rsid w:val="00F5306F"/>
    <w:rsid w:val="00F55080"/>
    <w:rsid w:val="00F5779D"/>
    <w:rsid w:val="00F624EB"/>
    <w:rsid w:val="00F6795A"/>
    <w:rsid w:val="00F709C2"/>
    <w:rsid w:val="00F73433"/>
    <w:rsid w:val="00F81C3D"/>
    <w:rsid w:val="00FA62A6"/>
    <w:rsid w:val="00FB2799"/>
    <w:rsid w:val="00FB4221"/>
    <w:rsid w:val="00FC1200"/>
    <w:rsid w:val="00FD76FE"/>
    <w:rsid w:val="00FE6E64"/>
    <w:rsid w:val="00FE7FF9"/>
    <w:rsid w:val="00FF2AEF"/>
    <w:rsid w:val="04872F39"/>
    <w:rsid w:val="0B23123D"/>
    <w:rsid w:val="175B3C20"/>
    <w:rsid w:val="1C7A4431"/>
    <w:rsid w:val="272F4649"/>
    <w:rsid w:val="28FD49AB"/>
    <w:rsid w:val="2CED0115"/>
    <w:rsid w:val="3DAC105C"/>
    <w:rsid w:val="51D83CCA"/>
    <w:rsid w:val="562A1DE3"/>
    <w:rsid w:val="7B6E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412</Words>
  <Characters>2353</Characters>
  <Lines>19</Lines>
  <Paragraphs>5</Paragraphs>
  <TotalTime>15</TotalTime>
  <ScaleCrop>false</ScaleCrop>
  <LinksUpToDate>false</LinksUpToDate>
  <CharactersWithSpaces>2760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2021-03-22T11:05:00Z</dcterms:created>
  <dcterms:modified xsi:type="dcterms:W3CDTF">2021-12-03T08:09:27Z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F61DBA7BF2554998AEFC3D8E15B67684</vt:lpwstr>
  </property>
</Properties>
</file>