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综合柜员岗试题（一）</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任务1：柜员开工综合业务（共6分）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1.在启动其它任务之前必须先完成本项任务，否则无法操作其它任务；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2.本项任务是必做任务。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任务2：个人客户储蓄业务1（共13分）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瞿美娴女士携带身份证和108000元现金来我行办理储蓄业务。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该客户要求办理借记卡Ⅰ类账户，签印类别为密码。同时为其开通的Ⅰ类借记卡账户办理以下相关业务：开立普通活期存款账户和借记卡通知存款账户，普通活期账户开户存入现金38000元，剩余现金全部开户存入借记卡通知存款账户，瞿美娴女士的手机号码为13624754455；</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2、瞿美娴女士来我行开立支票账户，存入现金50000元，签印类别为印鉴；</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3、客户提前一天从借记卡通知存款账户中提前支取20000元；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4、客户从借记卡活期存款账户中提现29000元，存入个人支票账户；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5、1个月后，客户来我行将借记卡通知存款销户。</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任务3：个人客户储蓄业务2（共13分）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聂俭豪先生携带军官证和现金来我行办理储蓄业务。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该客户要求办理借记卡Ⅰ类账户，签印类别为密码。同时为其开通的Ⅰ类借记卡账户办理以下相关业务：开立普通活期存款账户和借记卡教育储蓄账户（存期六年），分别开户存入6000元现金和500元现金，聂俭豪先生的手机号码为15832486597；</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2、聂俭豪先生先生来我行开立存单定活两便账户，签印类别为证件，开户存入现金8000元；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3、次月，再次存入500元现金到借记卡教育储蓄账户；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4、2年后，将教育储蓄账户提前销户；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5、3年后，将存单定活两便账户销户。</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任务4：个人网银业务（共10分）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客户聂俭豪来我行办理Ⅰ类账户借记卡网银开通业务，我行柜员为其办理了个人网银签约业务。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1、绑定的USBKey编号为8365862475，限定单笔限额10000元，日累计限额50000元。</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任务5：贷记卡业务（共20分）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燕秋白先生携带证件和现金来我行办理贷记卡业务。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1、该客户要求办理借记卡Ⅰ类账户，签印类别为密码，开立普通活期存款账户，开户存入现金13800元，燕秋白先生的手机号码为15885674591；</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2、燕秋白来我行开立贷记卡并且激活，贷记卡信用卡等级为普卡，pos消费额度为40000元，手机号码15885674591，每月还款日期15日；</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3、客户来我行存入500元现金至贷记卡账户，并将贷记卡与借记卡建立自扣还款代理关系；</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4、一个月后，为了安全起见，来我行修改贷记卡交易密码；</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5、客户来我行撤销自扣还款代理关系，并将贷记卡销户结清。</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任务6：个人贷款业务（共12分）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聂俭豪来本行办理“中长期住房装修贷款”。</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1、贷款金额为180000元，贷款月利率为4.12‰，贷款期限为5年，贷款用途为楼房，担保方式为抵押，还款方式为等额本金偿还，利息偿还方式为借贷人偿还。</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2、经本行各级信贷部门审批并通过了聂俭豪的贷款申请，我行柜员办理“中长期住房装修贷款”全额发放业务；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3、半年后，聂俭豪来我行偿还全部贷款。</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任务7：对公业务（共13分）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公司财务人员携带相关证件来我行开立一个商业存款活期基本户。</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1、深圳锦泰贸易有限公司，是一个商业客户，注册资金830万元，联系人姚念慈，联系人手机号码：13629971025，法定代表人手机号码：13856390218，开户存入现金185000元。</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任务8：代理业务（共10</w:t>
      </w:r>
      <w:bookmarkStart w:id="0" w:name="_GoBack"/>
      <w:bookmarkEnd w:id="0"/>
      <w:r>
        <w:rPr>
          <w:rFonts w:hint="eastAsia" w:ascii="仿宋" w:hAnsi="仿宋" w:eastAsia="仿宋" w:cs="仿宋"/>
          <w:b/>
          <w:bCs/>
          <w:sz w:val="28"/>
          <w:szCs w:val="28"/>
          <w:lang w:val="en-US" w:eastAsia="zh-CN"/>
        </w:rPr>
        <w:t>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深圳锦泰贸易有限公司的经办人来我行签订水费托收合同</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1、代理批量管理时，明细信息来源为手工录入，总笔数三笔，总金额2356.98元；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2、我行柜员完成批量托收（代扣）业务。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任务9：公司贷款业务（共18分）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深圳市星阔科技股份有限公司财务人员来我行办理贷款业务。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深圳市星阔科技股份有限公司，是一个商业客户，注册资金1000万元，联系人陶壹，联系人手机号码：13518174849，法定代表人手机号码：13518174947，公司财务人员携带相关证件来我行开立商业存款活期基本户一个，开户存入现金78000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2、深圳市星阔科技股份有限公司财务人员来我行办理“商业短期抵押质押贷款”，贷款金额700000元，贷款月利率5.95‰，贷款期限半年，贷款用途流动资金，担保方式为抵押，抵押法定代表人住房；</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3、经本行各级信贷部门审批并通过了深圳市星阔科技股份有限公司的贷款申请，我行柜员办理“商业短期抵押质押贷款”全额发放业务；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4、半年后，贷款到期，公司无力偿还，我行将抵债资产处理抵债。</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任务10：电子商业汇票解约业务（共10分）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深圳东昱达机械科技有限公司申请电子商业汇票签约业务。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深圳东昱达机械科技有限公司是一个商业客户，注册资金3800万元，联系人吴熹，联系人手机号码：15548174843，法定代表人手机号码：15559181738,财务人员携带相关证件来我行开立商业存款活期基本户一个，开户存入现金2000000元；</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2、深圳东昱达机械科技有限公司申请电子商业汇票签约业务，联系人吴熹，联系人手机号码：15548174843；</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3、因柜员操作错误，深圳东昱达机械科技有限公司与本行解除电子商业汇票签约。</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任务11：跨行汇款业务（共9分）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深圳市星阔科技股份有限公司财务人员来行办理跨行汇款业务。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深圳市星阔科技股份有限公司财务人员汇款92000元货款到深圳东昱达机械科技有限公司 ，业务类型：普通兑汇，业务种类：普通兑汇，现金支付手续费且付款人持卡支付，我行柜员为其办理该业务，并将这笔款项优先级归纳到紧急，接收行号：101684000604。</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任务12：大小额支付业务（共14分）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客户深圳市星阔科技股份有限公司来我行办理大小额支付业务。</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客户深圳市星阔科技股份有限公司来我行办理小额定期贷记业务，业务类型定期贷记，支付两笔工资给瞿美娴和燕秋白，总金额16000元，付款人账户类型为有卡支付，通过转账的方式支付手续费。其中燕秋白涉及金额5000元，瞿美娴为11000元，且两位的接收行号均为101684000604，复核并且发送报文；</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客户深圳市星阔科技股份有限公司来我行办理小额定期借记业务，业务类型为定期借记，收入水费一笔，金额1997.2元，收款人账户类型为无卡支付，付款单位为深圳锦泰贸易有限公司，接收行号：101684000604，复核并且发送报文；</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3、因柜员操作有误，现将发放给燕秋白和瞿美娴的两笔工资业务办理借记止付申请业务。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任务13：本票业务（共8分）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我行给深圳锦泰贸易有限公司签发了一张可再转让的本票，现转标识为“转账”，付款人为深圳锦泰贸易有限公司，付款类型为有卡折支付，收款人为深圳市星阔科技股份有限公司。</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1、出票金额为9000元，手续费现金收取，代理付款行号：104584001436。</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任务14：票据审核业务（共8分）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2019年11月30日，广州市五环彩印有限公司出票一张金额为55900元的银行承兑汇票用来支付广州金峰纸业进出口有限公司的货款，期限1个月，12月8日，中国建设银行承兑并交付给广州金峰纸业进出口有限公司，12月15日，持票人因资金短缺，将票据贴现给中国农业银行白云支行。</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1、涉及全部当事公司银行预留印鉴为财务专用章和法定代表人名章</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任务15：票据业务（共10分）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2019年10月8日，深圳市硕天股份有限公司财务人员吕映红（身份证号为410236199007015441）向其开户银行申请购买了一本转账支票，柜员张希为其开出支票；2019年10月9日，深圳市硕天股份有限公司财务人员张莉为了支付公司员工宿舍物业费用，购买并签发了一张5805.52元的转账支票给深圳市天心乐物业有限公司，密码2019100916182369；出票后的第5天（不含出票日），深圳市天心乐物业有限公司把收到的深圳市硕天股份有限公司财务人员的转账支票背书给深圳市智优信息技术有限公司支付往来货款；当日，深圳市智优信息技术有限公司将转账支票交给其开户银行委托收款。</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任务16：日终业务（共6分）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银行网点营业结束后，柜员办理日终业务操作，进行现金及重要凭证入库。</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1、柜员未使用的凭证进行入库操作；</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2、柜员将个人钱箱中的现金进行入库操作。</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重要提示：</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 xml:space="preserve">1、须对零售银行业务的未用凭证和对公银行业务的未用凭证分别入库；  </w:t>
      </w:r>
    </w:p>
    <w:p>
      <w:pPr>
        <w:spacing w:line="360" w:lineRule="auto"/>
        <w:ind w:firstLine="560"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2、进行钱箱扎帐即可查看柜员钱箱现金数量；通过“凭证综合查询”功能可查看未使用凭证情况。</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任务17：国际结算业务（共10分）</w:t>
      </w:r>
    </w:p>
    <w:p>
      <w:pPr>
        <w:spacing w:line="360" w:lineRule="auto"/>
        <w:ind w:firstLine="562" w:firstLineChars="200"/>
        <w:jc w:val="both"/>
        <w:rPr>
          <w:rFonts w:hint="default"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r>
        <w:rPr>
          <w:rFonts w:hint="default" w:ascii="仿宋" w:hAnsi="仿宋" w:eastAsia="仿宋" w:cs="仿宋"/>
          <w:b/>
          <w:bCs/>
          <w:sz w:val="28"/>
          <w:szCs w:val="28"/>
          <w:lang w:val="en-US" w:eastAsia="zh-CN"/>
        </w:rPr>
        <w:t xml:space="preserve"> </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2018年12月10日，光迅科技公司与日本LOTMK公司就进口5000套手机摄像头签订了50万美元的销售合同（合同编号为R1920/0214），约定该合同付款方式采用即期信用证方式；根据合同要求，光迅科技公司需在2018年12月20日之前找开证行申请即期信用证，信用证的支付方式为PAYMENT，通过开证行、通知行和议付行完成信用证的开立、通知以及日本LOTMK公司提供单据议付登记，光迅科技公司对单据没有异议后付款，议付行收到款后立即完成解付。 </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请完成即期信用证业务操作。</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任务18：国内保理业务（共5分）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九江市盛业建材有限公司为建材石膏板生产商，主要为我国几大建设公司供货，广州市中恒建设有限公司是其最主要客户之一。2019年4月3日，九江市盛业建材有限公司销售了10000块单价为320元的龙牌石膏板给广州市中恒建设有限公司，双方签订了销售合同；基于买卖双方的长期合作关系，该业务以赊销的方式进行交易，账期3个月，到期后将会以转账方式付款。九江市盛业建材有限公司形成了对广州市中恒建设有限公司的应收账款。但近期由于销售收入的增加，营运资金在生产各环节中占比随之增加，造成九江市盛业建材有限公司流动资金紧张。为保证九江市盛业建材有限公司的正常生产运营，满足市场需求，公司决定听取中国银行武宁支行客户经理的建议，向中国银行武宁支行申请国内保理业务，南昌市钢铁集团公司为该笔业务做担保。具体操作如下：</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4月9日，卖方向银行提出保理申请并提交签章后的相关申请书、该笔应收账款对应的发票(报销联复印件)、销售合同(原件)、送货单(原件)、验收单（原件）和其他贷款申请基本资料；银行对卖方提交的资料进行审核，并出具授信额度；4月11日，银行与卖方签订有追索权的国内明保理合同，合同中约定保理额度为2500000元，保理费率为0.1%，回款账户户名：九江市盛业建材有限公司中国银行保理专户，账号：65824852248635236478，开户行：中国银行武宁支行，通知债务人方式为银行与保理申请人一同向买方发出《应收账款转让通知书》，并取得买方确认书，解决争议方式为向仲裁委员会申请仲裁；4月12日，卖方、银行与担保方（即南昌市钢铁集团公司）签署第三方担保协议，并约定保理融资本金250万元；与此同时，银行填制《应收账款转让申请核准书》发送给卖方，核准书中明确预付款金额250万元，核定应收账款净额320万元，该笔保理业务4月11日起至7月3日止，保理预付款费率为0.1%，该笔应收账款将于7月3日到期，银行规定的保理业务手续费率为0.1%，资信调查800元/笔，银行给予九江市盛业建材有限公司该笔保理业务的贷款利率为8.5%，卖方依据收到的核准书填制《应收账款转让通知书》发送给银行，联合银行一同通知债务人债权变更；买方确认后银行登录人行“应收账款质押登记公示系统”进行质押公示；银行向卖方发放保理贷款，并扣收相应的保理费用和融资费用，费用收取方式为现收；银行在应收账款到期前15天 提示买方到期还款；买方在收到提示付款通知后到期还款，但由于资金周转问题在到期日前剩余55%应收账款未还清；7月4日，银行发起逾期催收，买方仍资金紧缺，在收到通知后选择拒付；同日，银行向卖方发起应收账款回购，卖方回购剩余的全部应收账款；业务结束。</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要求：请根据以上内容完成国内保理业务。</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19、应收账款质押业务（共5分）</w:t>
      </w:r>
    </w:p>
    <w:p>
      <w:pPr>
        <w:spacing w:line="360" w:lineRule="auto"/>
        <w:ind w:firstLine="562" w:firstLineChars="200"/>
        <w:jc w:val="both"/>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任务说明：</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广州市天硕设备技术有限公司是我国著名CT扫描仪生产商，与光大贸易有限公司有长期合作关系。2019年3月27日，光大贸易有限公司向广州市天硕设备技术有限公司购买了200台CT扫描仪准备销往海外，双方签订了5600万元的销售合同。基于买卖双方的长期合作关系，该业务以赊销的方式进行交易，账期4个月，到期后将会以转账方式付款。近期广州市天硕设备技术有限公司准备通过收购深圳市文莱科技有限公司直接获得其核心技术达到企业发展壮大的目的，但由于目前流动资金无法满足收购计划，公司高层董事会一致决定针对上述应收账款向中国建设银行白云支行申请应收账款质押融资业务。具体操作如下：</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 xml:space="preserve">    3月29日，卖方向银行提出应收账款质押融资申请5600万元融资额度并提交签章后的应收账款质押融资额度申请书、应收账款质押清单、融资申请书、发票(报销联复印件)、销售合同(原件)、送货单(原件)、验收单(原件)和其他贷款申请基本资料；银行对卖方提交的资料进行审核，并出具4200万元的授信额度；银行、卖方和应收账款债务人共同签署三方协议，通知债务人卖方拟将相关应收账款（人民币5600万元）质押予银行，并约定好债务人到期还款时的账户（户名：广州市天硕设备技术有限公司中国建设银行融资专户，账号：67552021586974368514，开户行：中国建设银行白云支行），确认融资贷款本金4200万元；4月4日银行与卖方签署借款合同、应收账款质押合同和应收账款质押登记协议，约定借款期限为3个月，银行应当在签署融资合同后3个工作日内将贷款汇入卖方指定收款账户（账户名：广州市天硕设备技术有限公司结算账户，开户行：中国建设银行白云支行，账号：6222501328452035958），卖方到期直接将款项汇入银行指定收款账户，还款方式为一次性还本付息，合同履行过程中发生争议通过协商仍不能解决的，可向银行住所地所在地人民法院起诉；卖方与银行共同出具签署好的《应收账款质押通知书》给买方，告知买方卖方已将相关应收账款（人民币5600万元）质押予银行，要求买方到期将款项汇入指定账户；银行登录人行“应收账款质押登记公示系统”进行质押公示；银行向卖方发放融资贷款；银行在到期前15天 提示买方到期还款；买方在收到提示付款通知后到期还款，于7月4日还清全部款项；银行收到全部款项后将差额划拨到卖方指定收款账户。业务结束。</w:t>
      </w:r>
    </w:p>
    <w:p>
      <w:pPr>
        <w:spacing w:line="360" w:lineRule="auto"/>
        <w:ind w:firstLine="560" w:firstLineChars="200"/>
        <w:jc w:val="both"/>
        <w:rPr>
          <w:rFonts w:hint="default" w:ascii="仿宋" w:hAnsi="仿宋" w:eastAsia="仿宋" w:cs="仿宋"/>
          <w:b w:val="0"/>
          <w:bCs w:val="0"/>
          <w:sz w:val="28"/>
          <w:szCs w:val="28"/>
          <w:lang w:val="en-US" w:eastAsia="zh-CN"/>
        </w:rPr>
      </w:pPr>
      <w:r>
        <w:rPr>
          <w:rFonts w:hint="default" w:ascii="仿宋" w:hAnsi="仿宋" w:eastAsia="仿宋" w:cs="仿宋"/>
          <w:b w:val="0"/>
          <w:bCs w:val="0"/>
          <w:sz w:val="28"/>
          <w:szCs w:val="28"/>
          <w:lang w:val="en-US" w:eastAsia="zh-CN"/>
        </w:rPr>
        <w:t>要求：请根据以上内容完成应收账款质押业务。</w:t>
      </w:r>
    </w:p>
    <w:p>
      <w:pPr>
        <w:numPr>
          <w:ilvl w:val="0"/>
          <w:numId w:val="0"/>
        </w:numPr>
        <w:spacing w:line="360" w:lineRule="auto"/>
        <w:rPr>
          <w:rFonts w:hint="default"/>
          <w:color w:val="auto"/>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C90783"/>
    <w:rsid w:val="16107D0E"/>
    <w:rsid w:val="168507D0"/>
    <w:rsid w:val="2C1A7037"/>
    <w:rsid w:val="32EF47B0"/>
    <w:rsid w:val="3AAB5B63"/>
    <w:rsid w:val="42625791"/>
    <w:rsid w:val="5D1C1311"/>
    <w:rsid w:val="65537EBA"/>
    <w:rsid w:val="6BCB367C"/>
    <w:rsid w:val="6DD50F9C"/>
    <w:rsid w:val="7AB43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2021-12-07T04:52:58Z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1641207765E14D799283FA0DD7FB9906</vt:lpwstr>
  </property>
</Properties>
</file>